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BD" w:rsidRDefault="009C03BD">
      <w:bookmarkStart w:id="0" w:name="_GoBack"/>
      <w:bookmarkEnd w:id="0"/>
    </w:p>
    <w:p w:rsidR="00105FEC" w:rsidRDefault="00105FEC"/>
    <w:p w:rsidR="00105FEC" w:rsidRDefault="00105FEC" w:rsidP="00105FEC">
      <w:pPr>
        <w:rPr>
          <w:b/>
          <w:color w:val="000000"/>
          <w:sz w:val="28"/>
          <w:szCs w:val="28"/>
        </w:rPr>
      </w:pPr>
    </w:p>
    <w:p w:rsidR="00105FEC" w:rsidRDefault="00105FEC" w:rsidP="00105FEC">
      <w:pPr>
        <w:rPr>
          <w:b/>
          <w:color w:val="000000"/>
          <w:sz w:val="28"/>
          <w:szCs w:val="28"/>
        </w:rPr>
      </w:pPr>
      <w:r w:rsidRPr="003652BE">
        <w:rPr>
          <w:b/>
          <w:color w:val="000000"/>
          <w:sz w:val="28"/>
          <w:szCs w:val="28"/>
        </w:rPr>
        <w:t xml:space="preserve">Join us online for an exciting webinar on MPP lobbying </w:t>
      </w:r>
    </w:p>
    <w:p w:rsidR="00105FEC" w:rsidRDefault="00105FEC" w:rsidP="00105FEC">
      <w:pPr>
        <w:rPr>
          <w:b/>
          <w:color w:val="000000"/>
          <w:sz w:val="28"/>
          <w:szCs w:val="28"/>
        </w:rPr>
      </w:pPr>
      <w:r w:rsidRPr="003652BE">
        <w:rPr>
          <w:b/>
          <w:color w:val="000000"/>
          <w:sz w:val="28"/>
          <w:szCs w:val="28"/>
        </w:rPr>
        <w:t>May 9th at 11:30am!</w:t>
      </w:r>
    </w:p>
    <w:p w:rsidR="00105FEC" w:rsidRDefault="00105FEC" w:rsidP="00105FEC">
      <w:pPr>
        <w:rPr>
          <w:b/>
          <w:color w:val="000000"/>
          <w:sz w:val="28"/>
          <w:szCs w:val="28"/>
        </w:rPr>
      </w:pPr>
    </w:p>
    <w:p w:rsidR="00105FEC" w:rsidRPr="003652BE" w:rsidRDefault="00105FEC" w:rsidP="00105FEC">
      <w:pPr>
        <w:rPr>
          <w:rFonts w:ascii="Arial" w:hAnsi="Arial" w:cs="Arial"/>
          <w:b/>
          <w:color w:val="000000"/>
          <w:sz w:val="28"/>
          <w:szCs w:val="28"/>
        </w:rPr>
      </w:pPr>
    </w:p>
    <w:p w:rsidR="00105FEC" w:rsidRDefault="00105FEC" w:rsidP="00105FEC">
      <w:pPr>
        <w:rPr>
          <w:rFonts w:ascii="Arial" w:hAnsi="Arial" w:cs="Arial"/>
          <w:color w:val="000000"/>
          <w:sz w:val="20"/>
          <w:szCs w:val="20"/>
        </w:rPr>
      </w:pPr>
      <w:r>
        <w:rPr>
          <w:rFonts w:ascii="Arial" w:hAnsi="Arial" w:cs="Arial"/>
          <w:color w:val="000000"/>
          <w:sz w:val="20"/>
          <w:szCs w:val="20"/>
        </w:rPr>
        <w:t> </w:t>
      </w:r>
    </w:p>
    <w:p w:rsidR="00105FEC" w:rsidRDefault="00105FEC" w:rsidP="00105FEC">
      <w:pPr>
        <w:jc w:val="both"/>
        <w:rPr>
          <w:rFonts w:ascii="Arial" w:hAnsi="Arial" w:cs="Arial"/>
          <w:color w:val="000000"/>
          <w:sz w:val="20"/>
          <w:szCs w:val="20"/>
        </w:rPr>
      </w:pPr>
      <w:r>
        <w:rPr>
          <w:rFonts w:ascii="Calibri" w:hAnsi="Calibri" w:cs="Calibri"/>
          <w:color w:val="000000"/>
        </w:rPr>
        <w:t xml:space="preserve">Ontario Campaign 2000 and the Alliance for a Poverty Free Toronto (APT) have produced resources to help local organizations, their clients and the general public approach their MPPs and advocate on key issues around poverty in their community. Given the 2012 austerity budgets – this work is more important than ever – particularly when we hear MPPs saying that the polls say poverty is not a top issue, or when they say that their constituents aren’t calling them about these issues. </w:t>
      </w:r>
    </w:p>
    <w:p w:rsidR="00105FEC" w:rsidRDefault="00105FEC" w:rsidP="00105FEC">
      <w:pPr>
        <w:rPr>
          <w:rFonts w:ascii="Times New Roman" w:hAnsi="Times New Roman" w:cs="Times New Roman"/>
          <w:color w:val="000000"/>
          <w:sz w:val="24"/>
          <w:szCs w:val="24"/>
        </w:rPr>
      </w:pPr>
      <w:r>
        <w:rPr>
          <w:color w:val="000000"/>
        </w:rPr>
        <w:t> </w:t>
      </w:r>
    </w:p>
    <w:p w:rsidR="00105FEC" w:rsidRPr="003652BE" w:rsidRDefault="00105FEC" w:rsidP="00105FEC">
      <w:pPr>
        <w:jc w:val="both"/>
        <w:rPr>
          <w:rFonts w:ascii="Arial" w:hAnsi="Arial" w:cs="Arial"/>
          <w:b/>
          <w:color w:val="000000"/>
          <w:sz w:val="20"/>
          <w:szCs w:val="20"/>
        </w:rPr>
      </w:pPr>
      <w:r>
        <w:rPr>
          <w:rFonts w:ascii="Calibri" w:hAnsi="Calibri" w:cs="Calibri"/>
          <w:color w:val="000000"/>
        </w:rPr>
        <w:t xml:space="preserve">The MPP lobbying kit is available online at </w:t>
      </w:r>
      <w:hyperlink r:id="rId5" w:history="1">
        <w:r>
          <w:rPr>
            <w:rStyle w:val="Hyperlink"/>
            <w:rFonts w:ascii="Calibri" w:hAnsi="Calibri" w:cs="Calibri"/>
            <w:color w:val="0000FF"/>
          </w:rPr>
          <w:t>http://www.campaign2000.ca/Ontario/resources.html</w:t>
        </w:r>
      </w:hyperlink>
      <w:r>
        <w:rPr>
          <w:rFonts w:ascii="Calibri" w:hAnsi="Calibri" w:cs="Calibri"/>
          <w:color w:val="000000"/>
        </w:rPr>
        <w:t xml:space="preserve">. Please find attached a brochure we’ve produced as part of the kit. </w:t>
      </w:r>
      <w:r w:rsidRPr="003652BE">
        <w:rPr>
          <w:rFonts w:ascii="Calibri" w:hAnsi="Calibri" w:cs="Calibri"/>
          <w:b/>
          <w:color w:val="000000"/>
        </w:rPr>
        <w:t>We will be holding an online webinar on May 9 from 11:30 am to 12:30pm to provide some key information on this lobby exercise and to answer any questions.</w:t>
      </w:r>
    </w:p>
    <w:p w:rsidR="00105FEC" w:rsidRDefault="00105FEC" w:rsidP="00105FEC">
      <w:pPr>
        <w:jc w:val="both"/>
        <w:rPr>
          <w:rFonts w:ascii="Times New Roman" w:hAnsi="Times New Roman" w:cs="Times New Roman"/>
          <w:color w:val="000000"/>
          <w:sz w:val="24"/>
          <w:szCs w:val="24"/>
        </w:rPr>
      </w:pPr>
      <w:r>
        <w:rPr>
          <w:color w:val="000000"/>
        </w:rPr>
        <w:t> </w:t>
      </w:r>
    </w:p>
    <w:p w:rsidR="00105FEC" w:rsidRDefault="00105FEC" w:rsidP="00105FEC">
      <w:pPr>
        <w:jc w:val="both"/>
        <w:rPr>
          <w:rFonts w:ascii="Calibri" w:hAnsi="Calibri" w:cs="Calibri"/>
          <w:color w:val="000000"/>
        </w:rPr>
      </w:pPr>
      <w:r>
        <w:rPr>
          <w:rFonts w:ascii="Calibri" w:hAnsi="Calibri" w:cs="Calibri"/>
          <w:color w:val="000000"/>
        </w:rPr>
        <w:t xml:space="preserve">Please let us know if you are interested in using the resources and participating in the webinar. Please feel free to pass on the attached information to others. </w:t>
      </w:r>
    </w:p>
    <w:p w:rsidR="00105FEC" w:rsidRDefault="00105FEC" w:rsidP="00105FEC">
      <w:pPr>
        <w:jc w:val="both"/>
        <w:rPr>
          <w:rFonts w:ascii="Calibri" w:hAnsi="Calibri" w:cs="Calibri"/>
          <w:color w:val="000000"/>
        </w:rPr>
      </w:pPr>
    </w:p>
    <w:p w:rsidR="00105FEC" w:rsidRDefault="00105FEC" w:rsidP="00105FEC">
      <w:pPr>
        <w:jc w:val="both"/>
        <w:rPr>
          <w:rFonts w:ascii="Calibri" w:hAnsi="Calibri" w:cs="Calibri"/>
          <w:color w:val="000000"/>
        </w:rPr>
      </w:pPr>
      <w:r>
        <w:rPr>
          <w:rFonts w:ascii="Calibri" w:hAnsi="Calibri" w:cs="Calibri"/>
          <w:color w:val="000000"/>
        </w:rPr>
        <w:t xml:space="preserve">We look forward to hearing from you.  Thank you.  </w:t>
      </w:r>
    </w:p>
    <w:p w:rsidR="00105FEC" w:rsidRDefault="00105FEC" w:rsidP="00105FEC">
      <w:pPr>
        <w:jc w:val="both"/>
        <w:rPr>
          <w:rFonts w:ascii="Calibri" w:hAnsi="Calibri" w:cs="Calibri"/>
          <w:color w:val="000000"/>
        </w:rPr>
      </w:pPr>
    </w:p>
    <w:p w:rsidR="00105FEC" w:rsidRDefault="00105FEC" w:rsidP="00105FEC">
      <w:pPr>
        <w:jc w:val="both"/>
        <w:rPr>
          <w:rFonts w:ascii="Calibri" w:hAnsi="Calibri" w:cs="Calibri"/>
          <w:color w:val="000000"/>
        </w:rPr>
      </w:pPr>
    </w:p>
    <w:p w:rsidR="00105FEC" w:rsidRDefault="00105FEC" w:rsidP="00105FEC">
      <w:pPr>
        <w:jc w:val="both"/>
        <w:rPr>
          <w:rFonts w:ascii="Times New Roman" w:hAnsi="Times New Roman" w:cs="Times New Roman"/>
          <w:color w:val="000000"/>
          <w:sz w:val="24"/>
          <w:szCs w:val="24"/>
        </w:rPr>
      </w:pPr>
      <w:r>
        <w:rPr>
          <w:rFonts w:ascii="Calibri" w:hAnsi="Calibri" w:cs="Calibri"/>
          <w:color w:val="000000"/>
        </w:rPr>
        <w:t xml:space="preserve">From </w:t>
      </w:r>
    </w:p>
    <w:p w:rsidR="00105FEC" w:rsidRDefault="00105FEC" w:rsidP="00105FEC">
      <w:pPr>
        <w:jc w:val="both"/>
        <w:rPr>
          <w:rFonts w:ascii="Calibri" w:hAnsi="Calibri" w:cs="Calibri"/>
          <w:color w:val="1F497D"/>
        </w:rPr>
      </w:pPr>
      <w:r>
        <w:rPr>
          <w:rFonts w:ascii="Calibri" w:hAnsi="Calibri" w:cs="Calibri"/>
          <w:color w:val="000000"/>
        </w:rPr>
        <w:t>Alizeh (Ont. C2000), Winston (SPT/APT), Liyu (C2000/FST)</w:t>
      </w:r>
    </w:p>
    <w:p w:rsidR="00105FEC" w:rsidRDefault="00105FEC" w:rsidP="00105FEC">
      <w:pPr>
        <w:rPr>
          <w:rFonts w:ascii="Calibri" w:hAnsi="Calibri" w:cs="Calibri"/>
          <w:color w:val="1F497D"/>
        </w:rPr>
      </w:pPr>
    </w:p>
    <w:p w:rsidR="00105FEC" w:rsidRDefault="00105FEC" w:rsidP="00105FEC">
      <w:pPr>
        <w:rPr>
          <w:rFonts w:ascii="Calibri" w:hAnsi="Calibri" w:cs="Calibri"/>
          <w:color w:val="1F497D"/>
        </w:rPr>
      </w:pPr>
    </w:p>
    <w:p w:rsidR="00105FEC" w:rsidRDefault="00105FEC" w:rsidP="00105FEC">
      <w:pPr>
        <w:rPr>
          <w:rFonts w:ascii="Calibri" w:hAnsi="Calibri" w:cs="Calibri"/>
          <w:color w:val="1F497D"/>
        </w:rPr>
      </w:pPr>
    </w:p>
    <w:p w:rsidR="00105FEC" w:rsidRDefault="00105FEC" w:rsidP="00105FEC">
      <w:pPr>
        <w:rPr>
          <w:rFonts w:ascii="Calibri" w:hAnsi="Calibri" w:cs="Calibri"/>
          <w:color w:val="1F497D"/>
        </w:rPr>
      </w:pPr>
    </w:p>
    <w:p w:rsidR="00105FEC" w:rsidRPr="00105FEC" w:rsidRDefault="00105FEC" w:rsidP="00105FEC">
      <w:pPr>
        <w:rPr>
          <w:rFonts w:ascii="Arial" w:hAnsi="Arial" w:cs="Arial"/>
          <w:b/>
          <w:color w:val="000000"/>
          <w:sz w:val="28"/>
          <w:szCs w:val="28"/>
          <w:u w:val="single"/>
        </w:rPr>
      </w:pPr>
      <w:r w:rsidRPr="00105FEC">
        <w:rPr>
          <w:rFonts w:ascii="Calibri" w:hAnsi="Calibri" w:cs="Calibri"/>
          <w:b/>
          <w:color w:val="000000"/>
          <w:sz w:val="28"/>
          <w:szCs w:val="28"/>
          <w:u w:val="single"/>
        </w:rPr>
        <w:t xml:space="preserve">Make sure to </w:t>
      </w:r>
      <w:r>
        <w:rPr>
          <w:rFonts w:ascii="Calibri" w:hAnsi="Calibri" w:cs="Calibri"/>
          <w:b/>
          <w:color w:val="000000"/>
          <w:sz w:val="28"/>
          <w:szCs w:val="28"/>
          <w:u w:val="single"/>
        </w:rPr>
        <w:t>register</w:t>
      </w:r>
      <w:r w:rsidRPr="00105FEC">
        <w:rPr>
          <w:rFonts w:ascii="Calibri" w:hAnsi="Calibri" w:cs="Calibri"/>
          <w:b/>
          <w:color w:val="000000"/>
          <w:sz w:val="28"/>
          <w:szCs w:val="28"/>
          <w:u w:val="single"/>
        </w:rPr>
        <w:t xml:space="preserve"> by Tuesday, May 1st, 2012</w:t>
      </w:r>
    </w:p>
    <w:p w:rsidR="00105FEC" w:rsidRPr="00105FEC" w:rsidRDefault="00105FEC" w:rsidP="00105FEC">
      <w:pPr>
        <w:rPr>
          <w:rFonts w:ascii="Times New Roman" w:hAnsi="Times New Roman" w:cs="Times New Roman"/>
          <w:b/>
          <w:color w:val="000000"/>
          <w:sz w:val="28"/>
          <w:szCs w:val="28"/>
        </w:rPr>
      </w:pPr>
      <w:r w:rsidRPr="00105FEC">
        <w:rPr>
          <w:b/>
          <w:color w:val="000000"/>
          <w:sz w:val="28"/>
          <w:szCs w:val="28"/>
        </w:rPr>
        <w:t> </w:t>
      </w:r>
    </w:p>
    <w:tbl>
      <w:tblPr>
        <w:tblW w:w="0" w:type="auto"/>
        <w:jc w:val="center"/>
        <w:tblCellSpacing w:w="0" w:type="dxa"/>
        <w:tblCellMar>
          <w:left w:w="0" w:type="dxa"/>
          <w:right w:w="0" w:type="dxa"/>
        </w:tblCellMar>
        <w:tblLook w:val="04A0" w:firstRow="1" w:lastRow="0" w:firstColumn="1" w:lastColumn="0" w:noHBand="0" w:noVBand="1"/>
      </w:tblPr>
      <w:tblGrid>
        <w:gridCol w:w="2422"/>
        <w:gridCol w:w="8266"/>
      </w:tblGrid>
      <w:tr w:rsidR="00105FEC" w:rsidRPr="00105FEC" w:rsidTr="00B56391">
        <w:trPr>
          <w:tblCellSpacing w:w="0" w:type="dxa"/>
          <w:jc w:val="center"/>
        </w:trPr>
        <w:tc>
          <w:tcPr>
            <w:tcW w:w="2250" w:type="dxa"/>
            <w:tcMar>
              <w:top w:w="75" w:type="dxa"/>
              <w:left w:w="75" w:type="dxa"/>
              <w:bottom w:w="75" w:type="dxa"/>
              <w:right w:w="75" w:type="dxa"/>
            </w:tcMar>
            <w:hideMark/>
          </w:tcPr>
          <w:p w:rsidR="00105FEC" w:rsidRPr="00105FEC" w:rsidRDefault="00105FEC" w:rsidP="00B56391">
            <w:pPr>
              <w:jc w:val="right"/>
              <w:rPr>
                <w:rFonts w:ascii="Helvetica" w:eastAsiaTheme="minorEastAsia" w:hAnsi="Helvetica" w:cs="Helvetica"/>
                <w:b/>
                <w:color w:val="000000"/>
                <w:sz w:val="28"/>
                <w:szCs w:val="28"/>
              </w:rPr>
            </w:pPr>
            <w:r w:rsidRPr="00105FEC">
              <w:rPr>
                <w:rStyle w:val="Strong"/>
                <w:rFonts w:ascii="Helvetica" w:hAnsi="Helvetica" w:cs="Helvetica"/>
                <w:color w:val="000000"/>
                <w:sz w:val="28"/>
                <w:szCs w:val="28"/>
              </w:rPr>
              <w:t>Meeting Title:</w:t>
            </w:r>
          </w:p>
        </w:tc>
        <w:tc>
          <w:tcPr>
            <w:tcW w:w="0" w:type="auto"/>
            <w:tcMar>
              <w:top w:w="75" w:type="dxa"/>
              <w:left w:w="75" w:type="dxa"/>
              <w:bottom w:w="75" w:type="dxa"/>
              <w:right w:w="75" w:type="dxa"/>
            </w:tcMar>
            <w:vAlign w:val="center"/>
            <w:hideMark/>
          </w:tcPr>
          <w:p w:rsidR="00105FEC" w:rsidRPr="00105FEC" w:rsidRDefault="00105FEC" w:rsidP="00B56391">
            <w:pPr>
              <w:jc w:val="left"/>
              <w:rPr>
                <w:rFonts w:ascii="Helvetica" w:eastAsiaTheme="minorEastAsia" w:hAnsi="Helvetica" w:cs="Helvetica"/>
                <w:b/>
                <w:color w:val="000000"/>
                <w:sz w:val="28"/>
                <w:szCs w:val="28"/>
              </w:rPr>
            </w:pPr>
            <w:r w:rsidRPr="00105FEC">
              <w:rPr>
                <w:rFonts w:ascii="Helvetica" w:hAnsi="Helvetica" w:cs="Helvetica"/>
                <w:b/>
                <w:color w:val="000000"/>
                <w:sz w:val="28"/>
                <w:szCs w:val="28"/>
              </w:rPr>
              <w:t xml:space="preserve">Lobbying Your MPP - Webinar Event </w:t>
            </w:r>
          </w:p>
        </w:tc>
      </w:tr>
      <w:tr w:rsidR="00105FEC" w:rsidRPr="00105FEC" w:rsidTr="00B56391">
        <w:trPr>
          <w:tblCellSpacing w:w="0" w:type="dxa"/>
          <w:jc w:val="center"/>
        </w:trPr>
        <w:tc>
          <w:tcPr>
            <w:tcW w:w="0" w:type="auto"/>
            <w:tcMar>
              <w:top w:w="75" w:type="dxa"/>
              <w:left w:w="75" w:type="dxa"/>
              <w:bottom w:w="75" w:type="dxa"/>
              <w:right w:w="75" w:type="dxa"/>
            </w:tcMar>
            <w:hideMark/>
          </w:tcPr>
          <w:p w:rsidR="00105FEC" w:rsidRPr="00105FEC" w:rsidRDefault="00105FEC" w:rsidP="00B56391">
            <w:pPr>
              <w:jc w:val="right"/>
              <w:rPr>
                <w:rFonts w:ascii="Helvetica" w:eastAsiaTheme="minorEastAsia" w:hAnsi="Helvetica" w:cs="Helvetica"/>
                <w:b/>
                <w:color w:val="000000"/>
                <w:sz w:val="28"/>
                <w:szCs w:val="28"/>
              </w:rPr>
            </w:pPr>
            <w:r w:rsidRPr="00105FEC">
              <w:rPr>
                <w:rStyle w:val="Strong"/>
                <w:rFonts w:ascii="Helvetica" w:hAnsi="Helvetica" w:cs="Helvetica"/>
                <w:color w:val="000000"/>
                <w:sz w:val="28"/>
                <w:szCs w:val="28"/>
              </w:rPr>
              <w:t>Host(s):</w:t>
            </w:r>
          </w:p>
        </w:tc>
        <w:tc>
          <w:tcPr>
            <w:tcW w:w="0" w:type="auto"/>
            <w:tcMar>
              <w:top w:w="75" w:type="dxa"/>
              <w:left w:w="75" w:type="dxa"/>
              <w:bottom w:w="75" w:type="dxa"/>
              <w:right w:w="75" w:type="dxa"/>
            </w:tcMar>
            <w:hideMark/>
          </w:tcPr>
          <w:p w:rsidR="00105FEC" w:rsidRPr="00105FEC" w:rsidRDefault="00105FEC" w:rsidP="00B56391">
            <w:pPr>
              <w:jc w:val="left"/>
              <w:rPr>
                <w:rFonts w:ascii="Helvetica" w:eastAsiaTheme="minorEastAsia" w:hAnsi="Helvetica" w:cs="Helvetica"/>
                <w:b/>
                <w:color w:val="000000"/>
                <w:sz w:val="28"/>
                <w:szCs w:val="28"/>
              </w:rPr>
            </w:pPr>
            <w:r w:rsidRPr="00105FEC">
              <w:rPr>
                <w:rFonts w:ascii="Helvetica" w:hAnsi="Helvetica" w:cs="Helvetica"/>
                <w:b/>
                <w:color w:val="000000"/>
                <w:sz w:val="28"/>
                <w:szCs w:val="28"/>
              </w:rPr>
              <w:t xml:space="preserve">Hosted by Ontario Campaign 2000 and Alliance for a Poverty-free Toronto (APT) </w:t>
            </w:r>
          </w:p>
        </w:tc>
      </w:tr>
      <w:tr w:rsidR="00105FEC" w:rsidRPr="00105FEC" w:rsidTr="00B56391">
        <w:trPr>
          <w:tblCellSpacing w:w="0" w:type="dxa"/>
          <w:jc w:val="center"/>
        </w:trPr>
        <w:tc>
          <w:tcPr>
            <w:tcW w:w="0" w:type="auto"/>
            <w:tcMar>
              <w:top w:w="75" w:type="dxa"/>
              <w:left w:w="75" w:type="dxa"/>
              <w:bottom w:w="75" w:type="dxa"/>
              <w:right w:w="75" w:type="dxa"/>
            </w:tcMar>
            <w:hideMark/>
          </w:tcPr>
          <w:p w:rsidR="00105FEC" w:rsidRPr="00105FEC" w:rsidRDefault="00105FEC" w:rsidP="00B56391">
            <w:pPr>
              <w:jc w:val="right"/>
              <w:rPr>
                <w:rFonts w:ascii="Helvetica" w:eastAsiaTheme="minorEastAsia" w:hAnsi="Helvetica" w:cs="Helvetica"/>
                <w:b/>
                <w:color w:val="000000"/>
                <w:sz w:val="28"/>
                <w:szCs w:val="28"/>
              </w:rPr>
            </w:pPr>
            <w:r>
              <w:rPr>
                <w:rStyle w:val="Strong"/>
                <w:rFonts w:ascii="Helvetica" w:hAnsi="Helvetica" w:cs="Helvetica"/>
                <w:color w:val="000000"/>
                <w:sz w:val="28"/>
                <w:szCs w:val="28"/>
              </w:rPr>
              <w:t>Webinar contact</w:t>
            </w:r>
            <w:r w:rsidRPr="00105FEC">
              <w:rPr>
                <w:rStyle w:val="Strong"/>
                <w:rFonts w:ascii="Helvetica" w:hAnsi="Helvetica" w:cs="Helvetica"/>
                <w:color w:val="000000"/>
                <w:sz w:val="28"/>
                <w:szCs w:val="28"/>
              </w:rPr>
              <w:t>:</w:t>
            </w:r>
          </w:p>
        </w:tc>
        <w:tc>
          <w:tcPr>
            <w:tcW w:w="0" w:type="auto"/>
            <w:tcMar>
              <w:top w:w="75" w:type="dxa"/>
              <w:left w:w="75" w:type="dxa"/>
              <w:bottom w:w="75" w:type="dxa"/>
              <w:right w:w="75" w:type="dxa"/>
            </w:tcMar>
            <w:hideMark/>
          </w:tcPr>
          <w:p w:rsidR="00105FEC" w:rsidRPr="00105FEC" w:rsidRDefault="00240D46" w:rsidP="00B56391">
            <w:pPr>
              <w:jc w:val="left"/>
              <w:rPr>
                <w:rFonts w:ascii="Helvetica" w:eastAsiaTheme="minorEastAsia" w:hAnsi="Helvetica" w:cs="Helvetica"/>
                <w:b/>
                <w:color w:val="000000"/>
                <w:sz w:val="28"/>
                <w:szCs w:val="28"/>
              </w:rPr>
            </w:pPr>
            <w:hyperlink r:id="rId6" w:history="1">
              <w:r w:rsidR="00105FEC" w:rsidRPr="00105FEC">
                <w:rPr>
                  <w:rStyle w:val="Hyperlink"/>
                  <w:rFonts w:ascii="Helvetica" w:hAnsi="Helvetica" w:cs="Helvetica"/>
                  <w:b/>
                  <w:sz w:val="28"/>
                  <w:szCs w:val="28"/>
                </w:rPr>
                <w:t>liyugu@familyservicetoronto.org</w:t>
              </w:r>
            </w:hyperlink>
            <w:r w:rsidR="00105FEC" w:rsidRPr="00105FEC">
              <w:rPr>
                <w:rFonts w:ascii="Helvetica" w:hAnsi="Helvetica" w:cs="Helvetica"/>
                <w:b/>
                <w:color w:val="000000"/>
                <w:sz w:val="28"/>
                <w:szCs w:val="28"/>
              </w:rPr>
              <w:t xml:space="preserve"> </w:t>
            </w:r>
          </w:p>
        </w:tc>
      </w:tr>
      <w:tr w:rsidR="00105FEC" w:rsidRPr="00105FEC" w:rsidTr="00B56391">
        <w:trPr>
          <w:tblCellSpacing w:w="0" w:type="dxa"/>
          <w:jc w:val="center"/>
        </w:trPr>
        <w:tc>
          <w:tcPr>
            <w:tcW w:w="0" w:type="auto"/>
            <w:tcMar>
              <w:top w:w="75" w:type="dxa"/>
              <w:left w:w="75" w:type="dxa"/>
              <w:bottom w:w="75" w:type="dxa"/>
              <w:right w:w="75" w:type="dxa"/>
            </w:tcMar>
            <w:vAlign w:val="center"/>
            <w:hideMark/>
          </w:tcPr>
          <w:p w:rsidR="00105FEC" w:rsidRPr="00105FEC" w:rsidRDefault="00105FEC" w:rsidP="00B56391">
            <w:pPr>
              <w:jc w:val="right"/>
              <w:rPr>
                <w:rFonts w:ascii="Helvetica" w:eastAsiaTheme="minorEastAsia" w:hAnsi="Helvetica" w:cs="Helvetica"/>
                <w:b/>
                <w:color w:val="000000"/>
                <w:sz w:val="28"/>
                <w:szCs w:val="28"/>
              </w:rPr>
            </w:pPr>
            <w:r w:rsidRPr="00105FEC">
              <w:rPr>
                <w:rStyle w:val="Strong"/>
                <w:rFonts w:ascii="Helvetica" w:hAnsi="Helvetica" w:cs="Helvetica"/>
                <w:color w:val="000000"/>
                <w:sz w:val="28"/>
                <w:szCs w:val="28"/>
              </w:rPr>
              <w:t>Date &amp; Time:</w:t>
            </w:r>
          </w:p>
        </w:tc>
        <w:tc>
          <w:tcPr>
            <w:tcW w:w="0" w:type="auto"/>
            <w:tcMar>
              <w:top w:w="75" w:type="dxa"/>
              <w:left w:w="75" w:type="dxa"/>
              <w:bottom w:w="75" w:type="dxa"/>
              <w:right w:w="75" w:type="dxa"/>
            </w:tcMar>
            <w:vAlign w:val="center"/>
            <w:hideMark/>
          </w:tcPr>
          <w:p w:rsidR="00105FEC" w:rsidRPr="00105FEC" w:rsidRDefault="00105FEC" w:rsidP="00B56391">
            <w:pPr>
              <w:jc w:val="left"/>
              <w:rPr>
                <w:rFonts w:ascii="Helvetica" w:eastAsiaTheme="minorEastAsia" w:hAnsi="Helvetica" w:cs="Helvetica"/>
                <w:b/>
                <w:color w:val="000000"/>
                <w:sz w:val="28"/>
                <w:szCs w:val="28"/>
              </w:rPr>
            </w:pPr>
            <w:r w:rsidRPr="00105FEC">
              <w:rPr>
                <w:rFonts w:ascii="Helvetica" w:hAnsi="Helvetica" w:cs="Helvetica"/>
                <w:b/>
                <w:color w:val="000000"/>
                <w:sz w:val="28"/>
                <w:szCs w:val="28"/>
              </w:rPr>
              <w:t xml:space="preserve">Wed, May 9, 2012, 11:30 AM Eastern Daylight Time </w:t>
            </w:r>
          </w:p>
        </w:tc>
      </w:tr>
      <w:tr w:rsidR="00105FEC" w:rsidRPr="00105FEC" w:rsidTr="00B56391">
        <w:trPr>
          <w:tblCellSpacing w:w="0" w:type="dxa"/>
          <w:jc w:val="center"/>
        </w:trPr>
        <w:tc>
          <w:tcPr>
            <w:tcW w:w="0" w:type="auto"/>
            <w:tcMar>
              <w:top w:w="75" w:type="dxa"/>
              <w:left w:w="75" w:type="dxa"/>
              <w:bottom w:w="75" w:type="dxa"/>
              <w:right w:w="75" w:type="dxa"/>
            </w:tcMar>
            <w:vAlign w:val="center"/>
            <w:hideMark/>
          </w:tcPr>
          <w:p w:rsidR="00105FEC" w:rsidRPr="00105FEC" w:rsidRDefault="00105FEC" w:rsidP="00B56391">
            <w:pPr>
              <w:jc w:val="right"/>
              <w:rPr>
                <w:rFonts w:ascii="Helvetica" w:eastAsiaTheme="minorEastAsia" w:hAnsi="Helvetica" w:cs="Helvetica"/>
                <w:b/>
                <w:color w:val="000000"/>
                <w:sz w:val="28"/>
                <w:szCs w:val="28"/>
              </w:rPr>
            </w:pPr>
            <w:r w:rsidRPr="00105FEC">
              <w:rPr>
                <w:rStyle w:val="Strong"/>
                <w:rFonts w:ascii="Helvetica" w:hAnsi="Helvetica" w:cs="Helvetica"/>
                <w:color w:val="000000"/>
                <w:sz w:val="28"/>
                <w:szCs w:val="28"/>
              </w:rPr>
              <w:t>Meeting Type:</w:t>
            </w:r>
          </w:p>
        </w:tc>
        <w:tc>
          <w:tcPr>
            <w:tcW w:w="0" w:type="auto"/>
            <w:tcMar>
              <w:top w:w="75" w:type="dxa"/>
              <w:left w:w="75" w:type="dxa"/>
              <w:bottom w:w="75" w:type="dxa"/>
              <w:right w:w="75" w:type="dxa"/>
            </w:tcMar>
            <w:vAlign w:val="center"/>
            <w:hideMark/>
          </w:tcPr>
          <w:p w:rsidR="00105FEC" w:rsidRPr="00105FEC" w:rsidRDefault="00105FEC" w:rsidP="00B56391">
            <w:pPr>
              <w:jc w:val="left"/>
              <w:rPr>
                <w:rFonts w:ascii="Helvetica" w:eastAsiaTheme="minorEastAsia" w:hAnsi="Helvetica" w:cs="Helvetica"/>
                <w:b/>
                <w:color w:val="000000"/>
                <w:sz w:val="28"/>
                <w:szCs w:val="28"/>
              </w:rPr>
            </w:pPr>
            <w:r w:rsidRPr="00105FEC">
              <w:rPr>
                <w:rFonts w:ascii="Helvetica" w:hAnsi="Helvetica" w:cs="Helvetica"/>
                <w:b/>
                <w:color w:val="000000"/>
                <w:sz w:val="28"/>
                <w:szCs w:val="28"/>
              </w:rPr>
              <w:t xml:space="preserve">Web &amp; Audio </w:t>
            </w:r>
          </w:p>
        </w:tc>
      </w:tr>
      <w:tr w:rsidR="00105FEC" w:rsidRPr="00105FEC" w:rsidTr="00B56391">
        <w:trPr>
          <w:trHeight w:val="21"/>
          <w:tblCellSpacing w:w="0" w:type="dxa"/>
          <w:jc w:val="center"/>
        </w:trPr>
        <w:tc>
          <w:tcPr>
            <w:tcW w:w="0" w:type="auto"/>
            <w:tcMar>
              <w:top w:w="75" w:type="dxa"/>
              <w:left w:w="75" w:type="dxa"/>
              <w:bottom w:w="75" w:type="dxa"/>
              <w:right w:w="75" w:type="dxa"/>
            </w:tcMar>
          </w:tcPr>
          <w:p w:rsidR="00105FEC" w:rsidRPr="00105FEC" w:rsidRDefault="00105FEC" w:rsidP="00B56391">
            <w:pPr>
              <w:jc w:val="right"/>
              <w:rPr>
                <w:rFonts w:ascii="Helvetica" w:eastAsiaTheme="minorEastAsia" w:hAnsi="Helvetica" w:cs="Helvetica"/>
                <w:b/>
                <w:color w:val="000000"/>
                <w:sz w:val="28"/>
                <w:szCs w:val="28"/>
              </w:rPr>
            </w:pPr>
          </w:p>
        </w:tc>
        <w:tc>
          <w:tcPr>
            <w:tcW w:w="0" w:type="auto"/>
            <w:tcMar>
              <w:top w:w="75" w:type="dxa"/>
              <w:left w:w="75" w:type="dxa"/>
              <w:bottom w:w="75" w:type="dxa"/>
              <w:right w:w="75" w:type="dxa"/>
            </w:tcMar>
          </w:tcPr>
          <w:p w:rsidR="00105FEC" w:rsidRPr="00105FEC" w:rsidRDefault="00105FEC" w:rsidP="00B56391">
            <w:pPr>
              <w:rPr>
                <w:rFonts w:eastAsia="Times New Roman"/>
                <w:b/>
                <w:sz w:val="28"/>
                <w:szCs w:val="28"/>
              </w:rPr>
            </w:pPr>
          </w:p>
        </w:tc>
      </w:tr>
      <w:tr w:rsidR="00105FEC" w:rsidRPr="00105FEC" w:rsidTr="00B56391">
        <w:trPr>
          <w:tblCellSpacing w:w="0" w:type="dxa"/>
          <w:jc w:val="center"/>
        </w:trPr>
        <w:tc>
          <w:tcPr>
            <w:tcW w:w="0" w:type="auto"/>
            <w:vAlign w:val="center"/>
            <w:hideMark/>
          </w:tcPr>
          <w:p w:rsidR="00105FEC" w:rsidRPr="00105FEC" w:rsidRDefault="00105FEC" w:rsidP="00B56391">
            <w:pPr>
              <w:jc w:val="right"/>
              <w:rPr>
                <w:rFonts w:ascii="Helvetica" w:eastAsiaTheme="minorEastAsia" w:hAnsi="Helvetica" w:cs="Helvetica"/>
                <w:b/>
                <w:color w:val="000000"/>
                <w:sz w:val="28"/>
                <w:szCs w:val="28"/>
              </w:rPr>
            </w:pPr>
            <w:r w:rsidRPr="00105FEC">
              <w:rPr>
                <w:rStyle w:val="Strong"/>
                <w:rFonts w:ascii="Helvetica" w:hAnsi="Helvetica" w:cs="Helvetica"/>
                <w:color w:val="000000"/>
                <w:sz w:val="28"/>
                <w:szCs w:val="28"/>
              </w:rPr>
              <w:t>Registration Link:</w:t>
            </w:r>
          </w:p>
        </w:tc>
        <w:tc>
          <w:tcPr>
            <w:tcW w:w="0" w:type="auto"/>
            <w:vAlign w:val="center"/>
            <w:hideMark/>
          </w:tcPr>
          <w:p w:rsidR="00105FEC" w:rsidRPr="00105FEC" w:rsidRDefault="00105FEC" w:rsidP="00105FEC">
            <w:pPr>
              <w:jc w:val="both"/>
              <w:rPr>
                <w:rFonts w:ascii="Helvetica" w:eastAsiaTheme="minorEastAsia" w:hAnsi="Helvetica" w:cs="Helvetica"/>
                <w:b/>
                <w:color w:val="000000"/>
                <w:sz w:val="28"/>
                <w:szCs w:val="28"/>
              </w:rPr>
            </w:pPr>
            <w:r>
              <w:rPr>
                <w:rFonts w:ascii="Helvetica" w:hAnsi="Helvetica" w:cs="Helvetica"/>
                <w:b/>
                <w:color w:val="000000"/>
                <w:sz w:val="28"/>
                <w:szCs w:val="28"/>
              </w:rPr>
              <w:t xml:space="preserve"> </w:t>
            </w:r>
            <w:hyperlink r:id="rId7" w:tgtFrame="_blank" w:history="1">
              <w:r w:rsidRPr="00105FEC">
                <w:rPr>
                  <w:rStyle w:val="Hyperlink"/>
                  <w:rFonts w:ascii="Helvetica" w:hAnsi="Helvetica" w:cs="Helvetica"/>
                  <w:b/>
                  <w:sz w:val="28"/>
                  <w:szCs w:val="28"/>
                </w:rPr>
                <w:t>https://cc.readytalk.com/r/kuz709g3bnca</w:t>
              </w:r>
            </w:hyperlink>
          </w:p>
        </w:tc>
      </w:tr>
    </w:tbl>
    <w:p w:rsidR="00105FEC" w:rsidRPr="00105FEC" w:rsidRDefault="00105FEC" w:rsidP="00105FEC">
      <w:pPr>
        <w:rPr>
          <w:b/>
          <w:sz w:val="28"/>
          <w:szCs w:val="28"/>
        </w:rPr>
      </w:pPr>
    </w:p>
    <w:p w:rsidR="00105FEC" w:rsidRPr="00105FEC" w:rsidRDefault="00105FEC">
      <w:pPr>
        <w:rPr>
          <w:b/>
          <w:sz w:val="28"/>
          <w:szCs w:val="28"/>
        </w:rPr>
      </w:pPr>
    </w:p>
    <w:sectPr w:rsidR="00105FEC" w:rsidRPr="00105FEC" w:rsidSect="00105FEC">
      <w:pgSz w:w="12240" w:h="15840"/>
      <w:pgMar w:top="851" w:right="851" w:bottom="851" w:left="851" w:header="709" w:footer="709"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EC"/>
    <w:rsid w:val="00105FEC"/>
    <w:rsid w:val="00240D46"/>
    <w:rsid w:val="00255727"/>
    <w:rsid w:val="009C03B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EC"/>
    <w:pPr>
      <w:spacing w:after="0" w:line="240" w:lineRule="auto"/>
      <w:jc w:val="center"/>
    </w:pPr>
    <w:rPr>
      <w:rFonts w:asciiTheme="majorHAnsi" w:eastAsiaTheme="minorHAnsi" w:hAnsiTheme="majorHAnsi"/>
      <w:color w:val="404040" w:themeColor="text1" w:themeTint="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FEC"/>
    <w:rPr>
      <w:color w:val="003366"/>
      <w:u w:val="single"/>
    </w:rPr>
  </w:style>
  <w:style w:type="character" w:styleId="Strong">
    <w:name w:val="Strong"/>
    <w:basedOn w:val="DefaultParagraphFont"/>
    <w:uiPriority w:val="22"/>
    <w:qFormat/>
    <w:rsid w:val="00105F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EC"/>
    <w:pPr>
      <w:spacing w:after="0" w:line="240" w:lineRule="auto"/>
      <w:jc w:val="center"/>
    </w:pPr>
    <w:rPr>
      <w:rFonts w:asciiTheme="majorHAnsi" w:eastAsiaTheme="minorHAnsi" w:hAnsiTheme="majorHAnsi"/>
      <w:color w:val="404040" w:themeColor="text1" w:themeTint="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FEC"/>
    <w:rPr>
      <w:color w:val="003366"/>
      <w:u w:val="single"/>
    </w:rPr>
  </w:style>
  <w:style w:type="character" w:styleId="Strong">
    <w:name w:val="Strong"/>
    <w:basedOn w:val="DefaultParagraphFont"/>
    <w:uiPriority w:val="22"/>
    <w:qFormat/>
    <w:rsid w:val="00105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readytalk.com/r/kuz709g3bn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yugu@familyservicetoronto.org" TargetMode="External"/><Relationship Id="rId5" Type="http://schemas.openxmlformats.org/officeDocument/2006/relationships/hyperlink" Target="http://www.campaign2000.ca/Ontario/resourc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Family Service Toronto</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Liyu</dc:creator>
  <cp:lastModifiedBy>Hussain, Alizeh</cp:lastModifiedBy>
  <cp:revision>2</cp:revision>
  <cp:lastPrinted>2012-04-25T18:24:00Z</cp:lastPrinted>
  <dcterms:created xsi:type="dcterms:W3CDTF">2012-04-26T19:42:00Z</dcterms:created>
  <dcterms:modified xsi:type="dcterms:W3CDTF">2012-04-26T19:42:00Z</dcterms:modified>
</cp:coreProperties>
</file>