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47" w:type="pct"/>
        <w:tblCellMar>
          <w:left w:w="0" w:type="dxa"/>
          <w:right w:w="0" w:type="dxa"/>
        </w:tblCellMar>
        <w:tblLook w:val="04A0"/>
      </w:tblPr>
      <w:tblGrid>
        <w:gridCol w:w="3866"/>
        <w:gridCol w:w="5800"/>
      </w:tblGrid>
      <w:tr w:rsidR="00000000">
        <w:trPr>
          <w:trHeight w:val="81"/>
        </w:trPr>
        <w:tc>
          <w:tcPr>
            <w:tcW w:w="2000" w:type="pct"/>
            <w:tcMar>
              <w:top w:w="0" w:type="dxa"/>
              <w:left w:w="108" w:type="dxa"/>
              <w:bottom w:w="0" w:type="dxa"/>
              <w:right w:w="108" w:type="dxa"/>
            </w:tcMar>
            <w:hideMark/>
          </w:tcPr>
          <w:p w:rsidR="00000000" w:rsidRDefault="00DB78FE">
            <w:pPr>
              <w:spacing w:line="81"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666875" cy="552450"/>
                  <wp:effectExtent l="19050" t="0" r="9525" b="0"/>
                  <wp:wrapSquare wrapText="bothSides"/>
                  <wp:docPr id="2" name="Picture 2" descr="http://media.ontarionewsroom.com/logos/ontario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ontarionewsroom.com/logos/ontario_logo.png"/>
                          <pic:cNvPicPr>
                            <a:picLocks noChangeAspect="1" noChangeArrowheads="1"/>
                          </pic:cNvPicPr>
                        </pic:nvPicPr>
                        <pic:blipFill>
                          <a:blip r:link="rId5" cstate="print"/>
                          <a:srcRect/>
                          <a:stretch>
                            <a:fillRect/>
                          </a:stretch>
                        </pic:blipFill>
                        <pic:spPr bwMode="auto">
                          <a:xfrm>
                            <a:off x="0" y="0"/>
                            <a:ext cx="1666875" cy="552450"/>
                          </a:xfrm>
                          <a:prstGeom prst="rect">
                            <a:avLst/>
                          </a:prstGeom>
                          <a:noFill/>
                          <a:ln w="9525">
                            <a:noFill/>
                            <a:miter lim="800000"/>
                            <a:headEnd/>
                            <a:tailEnd/>
                          </a:ln>
                        </pic:spPr>
                      </pic:pic>
                    </a:graphicData>
                  </a:graphic>
                </wp:anchor>
              </w:drawing>
            </w:r>
          </w:p>
        </w:tc>
        <w:tc>
          <w:tcPr>
            <w:tcW w:w="3000" w:type="pct"/>
            <w:tcMar>
              <w:top w:w="0" w:type="dxa"/>
              <w:left w:w="108" w:type="dxa"/>
              <w:bottom w:w="0" w:type="dxa"/>
              <w:right w:w="108" w:type="dxa"/>
            </w:tcMar>
            <w:vAlign w:val="bottom"/>
            <w:hideMark/>
          </w:tcPr>
          <w:p w:rsidR="00000000" w:rsidRDefault="00DB78FE">
            <w:pPr>
              <w:pStyle w:val="Header"/>
              <w:spacing w:line="81" w:lineRule="atLeast"/>
              <w:jc w:val="right"/>
            </w:pPr>
            <w:r>
              <w:rPr>
                <w:rFonts w:ascii="Arial Black" w:hAnsi="Arial Black"/>
                <w:b/>
                <w:bCs/>
                <w:i/>
                <w:iCs/>
                <w:color w:val="808080"/>
                <w:sz w:val="60"/>
                <w:szCs w:val="60"/>
                <w:lang/>
              </w:rPr>
              <w:t>NEWS</w:t>
            </w:r>
          </w:p>
        </w:tc>
      </w:tr>
      <w:tr w:rsidR="00000000">
        <w:trPr>
          <w:cantSplit/>
          <w:trHeight w:val="405"/>
        </w:trPr>
        <w:tc>
          <w:tcPr>
            <w:tcW w:w="5000" w:type="pct"/>
            <w:gridSpan w:val="2"/>
            <w:tcBorders>
              <w:top w:val="nil"/>
              <w:left w:val="nil"/>
              <w:bottom w:val="single" w:sz="8" w:space="0" w:color="auto"/>
              <w:right w:val="nil"/>
            </w:tcBorders>
            <w:tcMar>
              <w:top w:w="0" w:type="dxa"/>
              <w:left w:w="108" w:type="dxa"/>
              <w:bottom w:w="0" w:type="dxa"/>
              <w:right w:w="108" w:type="dxa"/>
            </w:tcMar>
            <w:hideMark/>
          </w:tcPr>
          <w:p w:rsidR="00000000" w:rsidRDefault="00DB78FE">
            <w:pPr>
              <w:pStyle w:val="Footer"/>
              <w:jc w:val="right"/>
            </w:pPr>
            <w:r>
              <w:rPr>
                <w:b/>
                <w:bCs/>
                <w:sz w:val="20"/>
                <w:szCs w:val="20"/>
                <w:lang/>
              </w:rPr>
              <w:t>Ministry of Housing</w:t>
            </w:r>
          </w:p>
        </w:tc>
      </w:tr>
    </w:tbl>
    <w:p w:rsidR="00000000" w:rsidRDefault="00DB78FE">
      <w:pPr>
        <w:rPr>
          <w:lang w:val="en-CA"/>
        </w:rPr>
      </w:pPr>
      <w:r>
        <w:rPr>
          <w:lang/>
        </w:rPr>
        <w:t> </w:t>
      </w:r>
    </w:p>
    <w:p w:rsidR="00000000" w:rsidRDefault="00DB78FE">
      <w:pPr>
        <w:rPr>
          <w:lang w:val="en-CA"/>
        </w:rPr>
      </w:pPr>
      <w:r>
        <w:rPr>
          <w:lang/>
        </w:rPr>
        <w:t> </w:t>
      </w:r>
    </w:p>
    <w:p w:rsidR="00000000" w:rsidRDefault="00DB78FE">
      <w:pPr>
        <w:jc w:val="center"/>
        <w:rPr>
          <w:lang w:val="en-CA"/>
        </w:rPr>
      </w:pPr>
      <w:r>
        <w:rPr>
          <w:b/>
          <w:bCs/>
          <w:sz w:val="28"/>
          <w:szCs w:val="28"/>
          <w:lang/>
        </w:rPr>
        <w:t>Ontario Establishes Portable Housing Benefit to Help Survivors of Domestic Violence</w:t>
      </w:r>
    </w:p>
    <w:p w:rsidR="00000000" w:rsidRDefault="00DB78FE">
      <w:pPr>
        <w:pStyle w:val="Heading2"/>
        <w:rPr>
          <w:rFonts w:eastAsia="Times New Roman" w:cs="Arial"/>
          <w:lang w:val="en-CA"/>
        </w:rPr>
      </w:pPr>
      <w:r>
        <w:rPr>
          <w:rFonts w:eastAsia="Times New Roman" w:cs="Arial"/>
          <w:lang/>
        </w:rPr>
        <w:t>Pilot Program Increases Affordable Housing Options for Survivors and Their Families</w:t>
      </w:r>
    </w:p>
    <w:p w:rsidR="00000000" w:rsidRDefault="00DB78FE">
      <w:pPr>
        <w:jc w:val="center"/>
        <w:rPr>
          <w:lang w:val="en-CA"/>
        </w:rPr>
      </w:pPr>
      <w:r>
        <w:rPr>
          <w:lang/>
        </w:rPr>
        <w:t>September 9, 2016 12:00 P.M.</w:t>
      </w:r>
    </w:p>
    <w:p w:rsidR="00000000" w:rsidRDefault="00DB78FE">
      <w:pPr>
        <w:rPr>
          <w:lang w:val="en-CA"/>
        </w:rPr>
      </w:pPr>
      <w:r>
        <w:rPr>
          <w:lang w:val="en-CA"/>
        </w:rPr>
        <w:t> </w:t>
      </w:r>
    </w:p>
    <w:p w:rsidR="00000000" w:rsidRDefault="00DB78FE">
      <w:pPr>
        <w:pStyle w:val="NormalWeb"/>
        <w:rPr>
          <w:lang w:val="en-CA"/>
        </w:rPr>
      </w:pPr>
      <w:r>
        <w:rPr>
          <w:rFonts w:hint="eastAsia"/>
          <w:lang w:val="en-CA"/>
        </w:rPr>
        <w:t>Ontario is launching a new pilot program in 22 communities across the province to increase affordable housing options for survivors of domestic violence and their families.</w:t>
      </w:r>
    </w:p>
    <w:p w:rsidR="00000000" w:rsidRDefault="00DB78FE">
      <w:pPr>
        <w:pStyle w:val="NormalWeb"/>
        <w:rPr>
          <w:rFonts w:hint="eastAsia"/>
          <w:lang w:val="en-CA"/>
        </w:rPr>
      </w:pPr>
      <w:r>
        <w:rPr>
          <w:rFonts w:hint="eastAsia"/>
          <w:lang w:val="en-CA"/>
        </w:rPr>
        <w:t xml:space="preserve">The governments of Canada and Ontario are investing more than $20 million over two </w:t>
      </w:r>
      <w:r>
        <w:rPr>
          <w:rFonts w:hint="eastAsia"/>
          <w:lang w:val="en-CA"/>
        </w:rPr>
        <w:t xml:space="preserve">years in the Survivors of Domestic Violence Portable Housing Benefit Pilot, which will provide ongoing assistance to approximately 1,000 survivors of domestic violence per year. </w:t>
      </w:r>
    </w:p>
    <w:p w:rsidR="00000000" w:rsidRDefault="00DB78FE">
      <w:pPr>
        <w:pStyle w:val="NormalWeb"/>
        <w:rPr>
          <w:rFonts w:hint="eastAsia"/>
          <w:lang w:val="en-CA"/>
        </w:rPr>
      </w:pPr>
      <w:r>
        <w:rPr>
          <w:rFonts w:hint="eastAsia"/>
          <w:lang w:val="en-CA"/>
        </w:rPr>
        <w:t>Currently, survivors of domestic violence are given priority access to rent-g</w:t>
      </w:r>
      <w:r>
        <w:rPr>
          <w:rFonts w:hint="eastAsia"/>
          <w:lang w:val="en-CA"/>
        </w:rPr>
        <w:t>eared-to-income social housing. Survivors enrolled in the new pilot program will have the option to receive a portable housing benefit, so that they can immediately find housing in their community instead of waiting for a social housing unit to become avai</w:t>
      </w:r>
      <w:r>
        <w:rPr>
          <w:rFonts w:hint="eastAsia"/>
          <w:lang w:val="en-CA"/>
        </w:rPr>
        <w:t>lable.</w:t>
      </w:r>
    </w:p>
    <w:p w:rsidR="00000000" w:rsidRDefault="00DB78FE">
      <w:pPr>
        <w:pStyle w:val="NormalWeb"/>
        <w:rPr>
          <w:rFonts w:hint="eastAsia"/>
          <w:lang w:val="en-CA"/>
        </w:rPr>
      </w:pPr>
      <w:r>
        <w:rPr>
          <w:rFonts w:hint="eastAsia"/>
          <w:lang w:val="en-CA"/>
        </w:rPr>
        <w:t xml:space="preserve">Based on the outcomes of the pilot, Ontario will consider ways to enhance the program and extend the portable housing benefit to other communities. </w:t>
      </w:r>
    </w:p>
    <w:p w:rsidR="00000000" w:rsidRDefault="00DB78FE">
      <w:pPr>
        <w:pStyle w:val="NormalWeb"/>
        <w:rPr>
          <w:rFonts w:hint="eastAsia"/>
          <w:lang w:val="en-CA"/>
        </w:rPr>
      </w:pPr>
      <w:r>
        <w:rPr>
          <w:rFonts w:hint="eastAsia"/>
          <w:lang w:val="en-CA"/>
        </w:rPr>
        <w:t xml:space="preserve">The new investment complements the commitments made through Ontario's recent </w:t>
      </w:r>
      <w:hyperlink r:id="rId6" w:history="1">
        <w:r>
          <w:rPr>
            <w:rStyle w:val="Hyperlink"/>
            <w:rFonts w:hint="eastAsia"/>
            <w:lang w:val="en-CA"/>
          </w:rPr>
          <w:t>Long-Term Affordable Housing Strategy</w:t>
        </w:r>
      </w:hyperlink>
      <w:r>
        <w:rPr>
          <w:rFonts w:hint="eastAsia"/>
          <w:lang w:val="en-CA"/>
        </w:rPr>
        <w:t xml:space="preserve"> update and </w:t>
      </w:r>
      <w:hyperlink r:id="rId7" w:history="1">
        <w:r>
          <w:rPr>
            <w:rStyle w:val="Hyperlink"/>
            <w:rFonts w:hint="eastAsia"/>
            <w:lang w:val="en-CA"/>
          </w:rPr>
          <w:t>It's Never Okay: Action Plan to Stop Sexual Violence and Haras</w:t>
        </w:r>
        <w:r>
          <w:rPr>
            <w:rStyle w:val="Hyperlink"/>
            <w:rFonts w:hint="eastAsia"/>
            <w:lang w:val="en-CA"/>
          </w:rPr>
          <w:t>sment [PDF]</w:t>
        </w:r>
      </w:hyperlink>
      <w:r>
        <w:rPr>
          <w:rFonts w:hint="eastAsia"/>
          <w:lang w:val="en-CA"/>
        </w:rPr>
        <w:t>. It also supports the province's goal of ending chronic homelessness in 10 years, and ending violence against women while providing better supports for survivors.</w:t>
      </w:r>
    </w:p>
    <w:p w:rsidR="00000000" w:rsidRDefault="00DB78FE">
      <w:pPr>
        <w:rPr>
          <w:rFonts w:hint="eastAsia"/>
          <w:lang w:val="en-CA"/>
        </w:rPr>
      </w:pPr>
      <w:r>
        <w:rPr>
          <w:lang w:val="en-CA"/>
        </w:rPr>
        <w:t> </w:t>
      </w:r>
    </w:p>
    <w:p w:rsidR="00000000" w:rsidRDefault="00DB78FE">
      <w:pPr>
        <w:pStyle w:val="Heading3"/>
        <w:rPr>
          <w:rFonts w:eastAsia="Times New Roman" w:cs="Arial"/>
          <w:lang w:val="en-CA"/>
        </w:rPr>
      </w:pPr>
      <w:r>
        <w:rPr>
          <w:rFonts w:ascii="Arial" w:eastAsia="Times New Roman" w:hAnsi="Arial" w:cs="Arial"/>
          <w:lang/>
        </w:rPr>
        <w:t>QUOTES</w:t>
      </w:r>
    </w:p>
    <w:p w:rsidR="00000000" w:rsidRDefault="00DB78FE">
      <w:pPr>
        <w:pStyle w:val="NormalWeb"/>
        <w:rPr>
          <w:lang w:val="en-CA"/>
        </w:rPr>
      </w:pPr>
      <w:r>
        <w:rPr>
          <w:rFonts w:hint="eastAsia"/>
          <w:lang w:val="en-CA"/>
        </w:rPr>
        <w:t xml:space="preserve">" </w:t>
      </w:r>
      <w:r>
        <w:rPr>
          <w:rFonts w:hint="eastAsia"/>
          <w:lang w:val="en-CA"/>
        </w:rPr>
        <w:t xml:space="preserve">Our government is committed to working with the Province of Ontario to develop and implement solutions to housing. This new pilot program recognizes the need for local solutions to housing challenges for victims of domestic violence." </w:t>
      </w:r>
      <w:r>
        <w:rPr>
          <w:rFonts w:hint="eastAsia"/>
          <w:lang w:val="en-CA"/>
        </w:rPr>
        <w:br/>
        <w:t>- Jean-Yves Duclos</w:t>
      </w:r>
      <w:r>
        <w:rPr>
          <w:rFonts w:hint="eastAsia"/>
          <w:lang w:val="en-CA"/>
        </w:rPr>
        <w:br/>
        <w:t>M</w:t>
      </w:r>
      <w:r>
        <w:rPr>
          <w:rFonts w:hint="eastAsia"/>
          <w:lang w:val="en-CA"/>
        </w:rPr>
        <w:t>inister of Families, Children and Social Development and Minister Responsible for Canada Mortgage and Housing Corporation</w:t>
      </w:r>
    </w:p>
    <w:p w:rsidR="00000000" w:rsidRDefault="00DB78FE">
      <w:pPr>
        <w:pStyle w:val="NormalWeb"/>
        <w:rPr>
          <w:rFonts w:hint="eastAsia"/>
          <w:lang w:val="en-CA"/>
        </w:rPr>
      </w:pPr>
      <w:r>
        <w:rPr>
          <w:rFonts w:hint="eastAsia"/>
          <w:lang w:val="en-CA"/>
        </w:rPr>
        <w:t>" Our government is committed to helping survivors of domestic violence escape unsafe situations. This pilot program is an important s</w:t>
      </w:r>
      <w:r>
        <w:rPr>
          <w:rFonts w:hint="eastAsia"/>
          <w:lang w:val="en-CA"/>
        </w:rPr>
        <w:t xml:space="preserve">tep in helping to ensure that survivors fleeing domestic violence can quickly obtain affordable and adequate housing of their choice in their community." </w:t>
      </w:r>
      <w:r>
        <w:rPr>
          <w:rFonts w:hint="eastAsia"/>
          <w:lang w:val="en-CA"/>
        </w:rPr>
        <w:br/>
        <w:t>- Chris Ballard</w:t>
      </w:r>
      <w:r>
        <w:rPr>
          <w:rFonts w:hint="eastAsia"/>
          <w:lang w:val="en-CA"/>
        </w:rPr>
        <w:br/>
        <w:t>Ontario</w:t>
      </w:r>
      <w:r>
        <w:rPr>
          <w:rFonts w:hint="eastAsia"/>
          <w:lang w:val="en-CA"/>
        </w:rPr>
        <w:t>’</w:t>
      </w:r>
      <w:r>
        <w:rPr>
          <w:rFonts w:hint="eastAsia"/>
          <w:lang w:val="en-CA"/>
        </w:rPr>
        <w:t>s Minister of Housing</w:t>
      </w:r>
    </w:p>
    <w:p w:rsidR="00000000" w:rsidRDefault="00DB78FE">
      <w:pPr>
        <w:pStyle w:val="NormalWeb"/>
        <w:rPr>
          <w:rFonts w:hint="eastAsia"/>
          <w:lang w:val="en-CA"/>
        </w:rPr>
      </w:pPr>
      <w:r>
        <w:rPr>
          <w:rFonts w:hint="eastAsia"/>
          <w:lang w:val="en-CA"/>
        </w:rPr>
        <w:t>" The safety of those fleeing domestic violence is of p</w:t>
      </w:r>
      <w:r>
        <w:rPr>
          <w:rFonts w:hint="eastAsia"/>
          <w:lang w:val="en-CA"/>
        </w:rPr>
        <w:t>aramount importance to our government, and that</w:t>
      </w:r>
      <w:r>
        <w:rPr>
          <w:rFonts w:hint="eastAsia"/>
          <w:lang w:val="en-CA"/>
        </w:rPr>
        <w:t>’</w:t>
      </w:r>
      <w:r>
        <w:rPr>
          <w:rFonts w:hint="eastAsia"/>
          <w:lang w:val="en-CA"/>
        </w:rPr>
        <w:t>s why we are committed to this pilot. Having access to safe, affordable housing is essential to escaping violence for some of our province</w:t>
      </w:r>
      <w:r>
        <w:rPr>
          <w:rFonts w:hint="eastAsia"/>
          <w:lang w:val="en-CA"/>
        </w:rPr>
        <w:t>’</w:t>
      </w:r>
      <w:r>
        <w:rPr>
          <w:rFonts w:hint="eastAsia"/>
          <w:lang w:val="en-CA"/>
        </w:rPr>
        <w:t xml:space="preserve">s most vulnerable." </w:t>
      </w:r>
      <w:r>
        <w:rPr>
          <w:rFonts w:hint="eastAsia"/>
          <w:lang w:val="en-CA"/>
        </w:rPr>
        <w:br/>
        <w:t>- Dr. Helena Jaczek</w:t>
      </w:r>
      <w:r>
        <w:rPr>
          <w:rFonts w:hint="eastAsia"/>
          <w:lang w:val="en-CA"/>
        </w:rPr>
        <w:br/>
        <w:t>Ontario</w:t>
      </w:r>
      <w:r>
        <w:rPr>
          <w:rFonts w:hint="eastAsia"/>
          <w:lang w:val="en-CA"/>
        </w:rPr>
        <w:t>’</w:t>
      </w:r>
      <w:r>
        <w:rPr>
          <w:rFonts w:hint="eastAsia"/>
          <w:lang w:val="en-CA"/>
        </w:rPr>
        <w:t>s Minister of Commun</w:t>
      </w:r>
      <w:r>
        <w:rPr>
          <w:rFonts w:hint="eastAsia"/>
          <w:lang w:val="en-CA"/>
        </w:rPr>
        <w:t>ity and Social Services</w:t>
      </w:r>
    </w:p>
    <w:p w:rsidR="00000000" w:rsidRDefault="00DB78FE">
      <w:pPr>
        <w:rPr>
          <w:rFonts w:hint="eastAsia"/>
          <w:lang w:val="en-CA"/>
        </w:rPr>
      </w:pPr>
      <w:r>
        <w:rPr>
          <w:lang w:val="en-CA"/>
        </w:rPr>
        <w:t> </w:t>
      </w:r>
    </w:p>
    <w:p w:rsidR="00000000" w:rsidRDefault="00DB78FE">
      <w:pPr>
        <w:pStyle w:val="Heading3"/>
        <w:rPr>
          <w:rFonts w:eastAsia="Times New Roman" w:cs="Arial"/>
          <w:lang w:val="en-CA"/>
        </w:rPr>
      </w:pPr>
      <w:r>
        <w:rPr>
          <w:rFonts w:ascii="Arial" w:eastAsia="Times New Roman" w:hAnsi="Arial" w:cs="Arial"/>
          <w:lang/>
        </w:rPr>
        <w:t>QUICK FACTS</w:t>
      </w:r>
    </w:p>
    <w:p w:rsidR="00000000" w:rsidRDefault="00DB78FE">
      <w:pPr>
        <w:numPr>
          <w:ilvl w:val="0"/>
          <w:numId w:val="1"/>
        </w:numPr>
        <w:spacing w:before="100" w:beforeAutospacing="1" w:after="100" w:afterAutospacing="1"/>
        <w:rPr>
          <w:rFonts w:eastAsia="Times New Roman"/>
          <w:lang w:val="en-CA"/>
        </w:rPr>
      </w:pPr>
      <w:r>
        <w:rPr>
          <w:rFonts w:eastAsia="Times New Roman"/>
          <w:lang w:val="en-CA"/>
        </w:rPr>
        <w:t>A portable housing benefit is a subsidy provided to a low-income household to help with housing costs. The subsidy gives a household the freedom to choose where to live, since it is not tied to a specific unit like mos</w:t>
      </w:r>
      <w:r>
        <w:rPr>
          <w:rFonts w:eastAsia="Times New Roman"/>
          <w:lang w:val="en-CA"/>
        </w:rPr>
        <w:t>t rent-geared-to-income social housing.</w:t>
      </w:r>
    </w:p>
    <w:p w:rsidR="00000000" w:rsidRDefault="00DB78FE">
      <w:pPr>
        <w:numPr>
          <w:ilvl w:val="0"/>
          <w:numId w:val="1"/>
        </w:numPr>
        <w:spacing w:before="100" w:beforeAutospacing="1" w:after="100" w:afterAutospacing="1"/>
        <w:rPr>
          <w:rFonts w:eastAsia="Times New Roman"/>
          <w:lang w:val="en-CA"/>
        </w:rPr>
      </w:pPr>
      <w:r>
        <w:rPr>
          <w:rFonts w:eastAsia="Times New Roman"/>
          <w:lang w:val="en-CA"/>
        </w:rPr>
        <w:t>The 2016 Ontario Budget announced an investment of $178 million over three years to support the updated Long-Term Affordable Housing Strategy.</w:t>
      </w:r>
    </w:p>
    <w:p w:rsidR="00000000" w:rsidRDefault="00DB78FE">
      <w:pPr>
        <w:numPr>
          <w:ilvl w:val="0"/>
          <w:numId w:val="1"/>
        </w:numPr>
        <w:spacing w:before="100" w:beforeAutospacing="1" w:after="100" w:afterAutospacing="1"/>
        <w:rPr>
          <w:rFonts w:eastAsia="Times New Roman"/>
          <w:lang w:val="en-CA"/>
        </w:rPr>
      </w:pPr>
      <w:r>
        <w:rPr>
          <w:rFonts w:eastAsia="Times New Roman"/>
          <w:lang w:val="en-CA"/>
        </w:rPr>
        <w:t xml:space="preserve">The additional funding for this pilot is part of a larger federal-provincial investment in </w:t>
      </w:r>
      <w:hyperlink r:id="rId8" w:history="1">
        <w:r>
          <w:rPr>
            <w:rStyle w:val="Hyperlink"/>
            <w:rFonts w:eastAsia="Times New Roman"/>
            <w:lang w:val="en-CA"/>
          </w:rPr>
          <w:t>social infrastruc</w:t>
        </w:r>
        <w:r>
          <w:rPr>
            <w:rStyle w:val="Hyperlink"/>
            <w:rFonts w:eastAsia="Times New Roman"/>
            <w:lang w:val="en-CA"/>
          </w:rPr>
          <w:t>ture spending</w:t>
        </w:r>
      </w:hyperlink>
      <w:r>
        <w:rPr>
          <w:rFonts w:eastAsia="Times New Roman"/>
          <w:lang w:val="en-CA"/>
        </w:rPr>
        <w:t xml:space="preserve"> that was announced in June.</w:t>
      </w:r>
    </w:p>
    <w:p w:rsidR="00000000" w:rsidRDefault="00DB78FE">
      <w:pPr>
        <w:rPr>
          <w:lang w:val="en-CA"/>
        </w:rPr>
      </w:pPr>
      <w:r>
        <w:rPr>
          <w:lang w:val="en-CA"/>
        </w:rPr>
        <w:t> </w:t>
      </w:r>
    </w:p>
    <w:p w:rsidR="00000000" w:rsidRDefault="00DB78FE">
      <w:pPr>
        <w:pStyle w:val="Heading3"/>
        <w:rPr>
          <w:rFonts w:eastAsia="Times New Roman" w:cs="Arial"/>
          <w:lang w:val="en-CA"/>
        </w:rPr>
      </w:pPr>
      <w:r>
        <w:rPr>
          <w:rFonts w:ascii="Arial" w:eastAsia="Times New Roman" w:hAnsi="Arial" w:cs="Arial"/>
          <w:lang/>
        </w:rPr>
        <w:t>LEARN MORE</w:t>
      </w:r>
    </w:p>
    <w:p w:rsidR="00000000" w:rsidRDefault="00DB78FE">
      <w:pPr>
        <w:numPr>
          <w:ilvl w:val="0"/>
          <w:numId w:val="2"/>
        </w:numPr>
        <w:spacing w:before="100" w:beforeAutospacing="1" w:after="100" w:afterAutospacing="1"/>
        <w:rPr>
          <w:rFonts w:eastAsia="Times New Roman"/>
          <w:lang w:val="en-CA"/>
        </w:rPr>
      </w:pPr>
      <w:hyperlink r:id="rId9" w:tooltip="Learn More" w:history="1">
        <w:r>
          <w:rPr>
            <w:rStyle w:val="Hyperlink"/>
            <w:rFonts w:eastAsia="Times New Roman"/>
            <w:lang w:val="en-CA"/>
          </w:rPr>
          <w:t>Ontario’s action plan to end sexual violence and harassment</w:t>
        </w:r>
      </w:hyperlink>
      <w:r>
        <w:rPr>
          <w:rFonts w:eastAsia="Times New Roman"/>
          <w:lang w:val="en-CA"/>
        </w:rPr>
        <w:t xml:space="preserve"> </w:t>
      </w:r>
    </w:p>
    <w:p w:rsidR="00000000" w:rsidRDefault="00DB78FE">
      <w:pPr>
        <w:numPr>
          <w:ilvl w:val="0"/>
          <w:numId w:val="2"/>
        </w:numPr>
        <w:spacing w:before="100" w:beforeAutospacing="1" w:after="100" w:afterAutospacing="1"/>
        <w:rPr>
          <w:rFonts w:eastAsia="Times New Roman"/>
          <w:lang w:val="en-CA"/>
        </w:rPr>
      </w:pPr>
      <w:hyperlink r:id="rId10" w:tooltip="Learn More" w:history="1">
        <w:r>
          <w:rPr>
            <w:rStyle w:val="Hyperlink"/>
            <w:rFonts w:eastAsia="Times New Roman"/>
            <w:lang w:val="en-CA"/>
          </w:rPr>
          <w:t>Ontario’s Poverty Reduction Strategy</w:t>
        </w:r>
      </w:hyperlink>
      <w:r>
        <w:rPr>
          <w:rFonts w:eastAsia="Times New Roman"/>
          <w:lang w:val="en-CA"/>
        </w:rPr>
        <w:t xml:space="preserve"> </w:t>
      </w:r>
    </w:p>
    <w:p w:rsidR="00000000" w:rsidRDefault="00DB78FE">
      <w:pPr>
        <w:numPr>
          <w:ilvl w:val="0"/>
          <w:numId w:val="2"/>
        </w:numPr>
        <w:spacing w:before="100" w:beforeAutospacing="1" w:after="100" w:afterAutospacing="1"/>
        <w:rPr>
          <w:rFonts w:eastAsia="Times New Roman"/>
          <w:lang w:val="en-CA"/>
        </w:rPr>
      </w:pPr>
      <w:r>
        <w:rPr>
          <w:rFonts w:eastAsia="Times New Roman"/>
          <w:lang w:val="en-CA"/>
        </w:rPr>
        <w:t xml:space="preserve">Canadians are invited to help shape the National Housing Strategy by joining the conversation on </w:t>
      </w:r>
      <w:hyperlink r:id="rId11" w:history="1">
        <w:r>
          <w:rPr>
            <w:rStyle w:val="Hyperlink"/>
            <w:rFonts w:eastAsia="Times New Roman"/>
            <w:lang w:val="en-CA"/>
          </w:rPr>
          <w:t>www.LetsTalkHousing.ca</w:t>
        </w:r>
      </w:hyperlink>
      <w:r>
        <w:rPr>
          <w:rFonts w:eastAsia="Times New Roman"/>
          <w:lang w:val="en-CA"/>
        </w:rPr>
        <w:t xml:space="preserve">. Ideas will help shape the future of housing in Canada. </w:t>
      </w:r>
    </w:p>
    <w:p w:rsidR="00000000" w:rsidRDefault="00DB78FE">
      <w:pPr>
        <w:rPr>
          <w:lang w:val="en-CA"/>
        </w:rPr>
      </w:pPr>
      <w:r>
        <w:rPr>
          <w:lang/>
        </w:rPr>
        <w:t> </w:t>
      </w:r>
    </w:p>
    <w:tbl>
      <w:tblPr>
        <w:tblW w:w="5000" w:type="pct"/>
        <w:jc w:val="center"/>
        <w:tblCellMar>
          <w:left w:w="0" w:type="dxa"/>
          <w:right w:w="0" w:type="dxa"/>
        </w:tblCellMar>
        <w:tblLook w:val="04A0"/>
      </w:tblPr>
      <w:tblGrid>
        <w:gridCol w:w="5685"/>
        <w:gridCol w:w="3790"/>
      </w:tblGrid>
      <w:tr w:rsidR="00000000">
        <w:trPr>
          <w:trHeight w:val="340"/>
          <w:jc w:val="center"/>
        </w:trPr>
        <w:tc>
          <w:tcPr>
            <w:tcW w:w="3000" w:type="pct"/>
            <w:tcBorders>
              <w:top w:val="single" w:sz="8" w:space="0" w:color="auto"/>
              <w:left w:val="nil"/>
              <w:bottom w:val="nil"/>
              <w:right w:val="nil"/>
            </w:tcBorders>
            <w:tcMar>
              <w:top w:w="115" w:type="dxa"/>
              <w:left w:w="0" w:type="dxa"/>
              <w:bottom w:w="0" w:type="dxa"/>
              <w:right w:w="0" w:type="dxa"/>
            </w:tcMar>
            <w:hideMark/>
          </w:tcPr>
          <w:p w:rsidR="00000000" w:rsidRDefault="00DB78FE">
            <w:r>
              <w:rPr>
                <w:b/>
                <w:bCs/>
                <w:sz w:val="18"/>
                <w:szCs w:val="18"/>
                <w:lang/>
              </w:rPr>
              <w:t>Conrad Spezowka</w:t>
            </w:r>
            <w:r>
              <w:rPr>
                <w:sz w:val="18"/>
                <w:szCs w:val="18"/>
                <w:lang/>
              </w:rPr>
              <w:t xml:space="preserve"> Communications Branch</w:t>
            </w:r>
            <w:r>
              <w:rPr>
                <w:sz w:val="18"/>
                <w:szCs w:val="18"/>
                <w:lang/>
              </w:rPr>
              <w:br/>
              <w:t>Conrad.Spezowka@ontario.ca</w:t>
            </w:r>
            <w:r>
              <w:rPr>
                <w:sz w:val="18"/>
                <w:szCs w:val="18"/>
                <w:lang/>
              </w:rPr>
              <w:br/>
              <w:t xml:space="preserve">416-585-7066 </w:t>
            </w:r>
          </w:p>
          <w:p w:rsidR="00000000" w:rsidRDefault="00DB78FE">
            <w:r>
              <w:rPr>
                <w:b/>
                <w:bCs/>
                <w:sz w:val="18"/>
                <w:szCs w:val="18"/>
                <w:lang/>
              </w:rPr>
              <w:t>Laura Gallant</w:t>
            </w:r>
            <w:r>
              <w:rPr>
                <w:sz w:val="18"/>
                <w:szCs w:val="18"/>
                <w:lang/>
              </w:rPr>
              <w:t xml:space="preserve"> Minister's Office</w:t>
            </w:r>
            <w:r>
              <w:rPr>
                <w:sz w:val="18"/>
                <w:szCs w:val="18"/>
                <w:lang/>
              </w:rPr>
              <w:br/>
              <w:t>laura.gallant@ontario.ca</w:t>
            </w:r>
            <w:r>
              <w:rPr>
                <w:sz w:val="18"/>
                <w:szCs w:val="18"/>
                <w:lang/>
              </w:rPr>
              <w:br/>
              <w:t>416-58</w:t>
            </w:r>
            <w:r>
              <w:rPr>
                <w:sz w:val="18"/>
                <w:szCs w:val="18"/>
                <w:lang/>
              </w:rPr>
              <w:t xml:space="preserve">5-6333 </w:t>
            </w:r>
          </w:p>
          <w:p w:rsidR="00000000" w:rsidRDefault="00DB78FE">
            <w:pPr>
              <w:ind w:right="20"/>
            </w:pPr>
            <w:r>
              <w:rPr>
                <w:sz w:val="18"/>
                <w:szCs w:val="18"/>
                <w:lang/>
              </w:rPr>
              <w:t> </w:t>
            </w:r>
          </w:p>
        </w:tc>
        <w:tc>
          <w:tcPr>
            <w:tcW w:w="2000" w:type="pct"/>
            <w:tcBorders>
              <w:top w:val="single" w:sz="8" w:space="0" w:color="auto"/>
              <w:left w:val="nil"/>
              <w:bottom w:val="nil"/>
              <w:right w:val="nil"/>
            </w:tcBorders>
            <w:tcMar>
              <w:top w:w="58" w:type="dxa"/>
              <w:left w:w="115" w:type="dxa"/>
              <w:bottom w:w="0" w:type="dxa"/>
              <w:right w:w="115" w:type="dxa"/>
            </w:tcMar>
            <w:hideMark/>
          </w:tcPr>
          <w:p w:rsidR="00000000" w:rsidRDefault="00DB78FE">
            <w:pPr>
              <w:jc w:val="right"/>
            </w:pPr>
            <w:hyperlink r:id="rId12" w:history="1">
              <w:r>
                <w:rPr>
                  <w:rStyle w:val="Hyperlink"/>
                  <w:b/>
                  <w:bCs/>
                  <w:lang/>
                </w:rPr>
                <w:t>Available Online</w:t>
              </w:r>
            </w:hyperlink>
          </w:p>
          <w:p w:rsidR="00000000" w:rsidRDefault="00DB78FE">
            <w:pPr>
              <w:jc w:val="right"/>
            </w:pPr>
            <w:hyperlink r:id="rId13" w:history="1">
              <w:r>
                <w:rPr>
                  <w:rStyle w:val="Hyperlink"/>
                  <w:b/>
                  <w:bCs/>
                  <w:sz w:val="18"/>
                  <w:szCs w:val="18"/>
                  <w:lang/>
                </w:rPr>
                <w:t>Disponible en Français</w:t>
              </w:r>
            </w:hyperlink>
          </w:p>
        </w:tc>
      </w:tr>
    </w:tbl>
    <w:p w:rsidR="00DB78FE" w:rsidRDefault="00DB78FE">
      <w:pPr>
        <w:rPr>
          <w:lang w:val="en-CA"/>
        </w:rPr>
      </w:pPr>
      <w:r>
        <w:rPr>
          <w:lang w:val="en-CA"/>
        </w:rPr>
        <w:t> </w:t>
      </w:r>
    </w:p>
    <w:sectPr w:rsidR="00DB78FE">
      <w:pgSz w:w="12240" w:h="15840"/>
      <w:pgMar w:top="72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0" w:usb1="00000000" w:usb2="00000000" w:usb3="00000000" w:csb0="00000000" w:csb1="00000000"/>
  </w:font>
  <w:font w:name="Arial Italic">
    <w:panose1 w:val="020B0604020202090204"/>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56601"/>
    <w:multiLevelType w:val="multilevel"/>
    <w:tmpl w:val="8FFA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0E7757"/>
    <w:multiLevelType w:val="multilevel"/>
    <w:tmpl w:val="4F28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defaultTabStop w:val="720"/>
  <w:noPunctuationKerning/>
  <w:characterSpacingControl w:val="doNotCompress"/>
  <w:compat/>
  <w:rsids>
    <w:rsidRoot w:val="008D5EC1"/>
    <w:rsid w:val="008D5EC1"/>
    <w:rsid w:val="00DB7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heme="minorEastAsia" w:hAnsi="Arial" w:cs="Arial"/>
      <w:sz w:val="22"/>
      <w:szCs w:val="22"/>
    </w:rPr>
  </w:style>
  <w:style w:type="paragraph" w:styleId="Heading1">
    <w:name w:val="heading 1"/>
    <w:basedOn w:val="Normal"/>
    <w:link w:val="Heading1Char"/>
    <w:uiPriority w:val="9"/>
    <w:qFormat/>
    <w:pPr>
      <w:keepNext/>
      <w:snapToGrid w:val="0"/>
      <w:jc w:val="center"/>
      <w:outlineLvl w:val="0"/>
    </w:pPr>
    <w:rPr>
      <w:rFonts w:ascii="Arial Bold" w:hAnsi="Arial Bold" w:cs="Times New Roman"/>
      <w:b/>
      <w:bCs/>
      <w:kern w:val="36"/>
      <w:sz w:val="28"/>
      <w:szCs w:val="28"/>
    </w:rPr>
  </w:style>
  <w:style w:type="paragraph" w:styleId="Heading2">
    <w:name w:val="heading 2"/>
    <w:basedOn w:val="Normal"/>
    <w:link w:val="Heading2Char"/>
    <w:uiPriority w:val="9"/>
    <w:qFormat/>
    <w:pPr>
      <w:keepNext/>
      <w:jc w:val="center"/>
      <w:outlineLvl w:val="1"/>
    </w:pPr>
    <w:rPr>
      <w:rFonts w:ascii="Arial Italic" w:hAnsi="Arial Italic" w:cs="Times New Roman"/>
      <w:i/>
      <w:iCs/>
      <w:sz w:val="24"/>
      <w:szCs w:val="24"/>
    </w:rPr>
  </w:style>
  <w:style w:type="paragraph" w:styleId="Heading3">
    <w:name w:val="heading 3"/>
    <w:basedOn w:val="Normal"/>
    <w:link w:val="Heading3Char"/>
    <w:uiPriority w:val="9"/>
    <w:qFormat/>
    <w:pPr>
      <w:keepNext/>
      <w:outlineLvl w:val="2"/>
    </w:pPr>
    <w:rPr>
      <w:rFonts w:ascii="Arial Bold" w:hAnsi="Arial Bold" w:cs="Times New Roman"/>
      <w:b/>
      <w:bCs/>
    </w:rPr>
  </w:style>
  <w:style w:type="paragraph" w:styleId="Heading4">
    <w:name w:val="heading 4"/>
    <w:basedOn w:val="Normal"/>
    <w:link w:val="Heading4Char"/>
    <w:uiPriority w:val="9"/>
    <w:qFormat/>
    <w:pPr>
      <w:keepNext/>
      <w:snapToGrid w:val="0"/>
      <w:jc w:val="right"/>
      <w:outlineLvl w:val="3"/>
    </w:pPr>
    <w:rPr>
      <w:b/>
      <w:bCs/>
      <w:sz w:val="28"/>
      <w:szCs w:val="28"/>
    </w:rPr>
  </w:style>
  <w:style w:type="paragraph" w:styleId="Heading5">
    <w:name w:val="heading 5"/>
    <w:basedOn w:val="Normal"/>
    <w:link w:val="Heading5Char"/>
    <w:uiPriority w:val="9"/>
    <w:qFormat/>
    <w:pPr>
      <w:keepNext/>
      <w:outlineLvl w:val="4"/>
    </w:pPr>
    <w:rPr>
      <w:b/>
      <w:bCs/>
      <w:sz w:val="28"/>
      <w:szCs w:val="28"/>
    </w:rPr>
  </w:style>
  <w:style w:type="paragraph" w:styleId="Heading6">
    <w:name w:val="heading 6"/>
    <w:basedOn w:val="Normal"/>
    <w:link w:val="Heading6Char"/>
    <w:uiPriority w:val="9"/>
    <w:qFormat/>
    <w:pPr>
      <w:keepNext/>
      <w:jc w:val="right"/>
      <w:outlineLvl w:val="5"/>
    </w:pPr>
    <w:rPr>
      <w:b/>
      <w:bCs/>
    </w:rPr>
  </w:style>
  <w:style w:type="paragraph" w:styleId="Heading7">
    <w:name w:val="heading 7"/>
    <w:basedOn w:val="Normal"/>
    <w:link w:val="Heading7Char"/>
    <w:uiPriority w:val="9"/>
    <w:qFormat/>
    <w:pPr>
      <w:keepNext/>
      <w:jc w:val="center"/>
      <w:outlineLvl w:val="6"/>
    </w:pPr>
    <w:rPr>
      <w:rFonts w:eastAsia="Arial Unicode MS"/>
      <w:i/>
      <w:iCs/>
    </w:rPr>
  </w:style>
  <w:style w:type="paragraph" w:styleId="Heading8">
    <w:name w:val="heading 8"/>
    <w:basedOn w:val="Normal"/>
    <w:link w:val="Heading8Char"/>
    <w:uiPriority w:val="9"/>
    <w:qFormat/>
    <w:pPr>
      <w:keepNext/>
      <w:jc w:val="right"/>
      <w:outlineLvl w:val="7"/>
    </w:pPr>
    <w:rPr>
      <w:rFonts w:eastAsia="Arial Unicode MS"/>
      <w:i/>
      <w:iCs/>
    </w:rPr>
  </w:style>
  <w:style w:type="paragraph" w:styleId="Heading9">
    <w:name w:val="heading 9"/>
    <w:basedOn w:val="Normal"/>
    <w:link w:val="Heading9Char"/>
    <w:uiPriority w:val="9"/>
    <w:qFormat/>
    <w:pPr>
      <w:spacing w:before="240" w:after="60"/>
      <w:outlineLvl w:val="8"/>
    </w:pPr>
    <w:rPr>
      <w:rFonts w:eastAsia="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2"/>
      <w:szCs w:val="22"/>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Arial"/>
    </w:rPr>
  </w:style>
  <w:style w:type="paragraph" w:styleId="NormalWeb">
    <w:name w:val="Normal (Web)"/>
    <w:basedOn w:val="Normal"/>
    <w:uiPriority w:val="99"/>
    <w:semiHidden/>
    <w:unhideWhenUsed/>
    <w:pPr>
      <w:spacing w:before="120" w:after="240" w:line="360" w:lineRule="atLeast"/>
    </w:pPr>
    <w:rPr>
      <w:rFonts w:ascii="Arial Unicode MS" w:eastAsia="Arial Unicode MS" w:hAnsi="Arial Unicode MS" w:cs="Arial Unicode M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uiPriority w:val="99"/>
    <w:semiHidden/>
    <w:unhideWhenUsed/>
    <w:rPr>
      <w:rFonts w:eastAsia="Arial Unicode MS"/>
      <w:sz w:val="20"/>
      <w:szCs w:val="20"/>
    </w:rPr>
  </w:style>
  <w:style w:type="character" w:customStyle="1" w:styleId="CommentTextChar">
    <w:name w:val="Comment Text Char"/>
    <w:basedOn w:val="DefaultParagraphFont"/>
    <w:link w:val="CommentText"/>
    <w:uiPriority w:val="99"/>
    <w:semiHidden/>
    <w:rPr>
      <w:rFonts w:ascii="Arial" w:eastAsiaTheme="minorEastAsia" w:hAnsi="Arial" w:cs="Arial"/>
    </w:rPr>
  </w:style>
  <w:style w:type="paragraph" w:styleId="Header">
    <w:name w:val="header"/>
    <w:basedOn w:val="Normal"/>
    <w:link w:val="HeaderChar"/>
    <w:uiPriority w:val="99"/>
    <w:unhideWhenUsed/>
    <w:rPr>
      <w:rFonts w:eastAsia="Arial Unicode MS"/>
      <w:sz w:val="20"/>
      <w:szCs w:val="20"/>
    </w:rPr>
  </w:style>
  <w:style w:type="character" w:customStyle="1" w:styleId="HeaderChar">
    <w:name w:val="Header Char"/>
    <w:basedOn w:val="DefaultParagraphFont"/>
    <w:link w:val="Header"/>
    <w:uiPriority w:val="99"/>
    <w:rPr>
      <w:rFonts w:ascii="Arial" w:eastAsiaTheme="minorEastAsia" w:hAnsi="Arial" w:cs="Arial"/>
      <w:sz w:val="22"/>
      <w:szCs w:val="22"/>
    </w:rPr>
  </w:style>
  <w:style w:type="paragraph" w:styleId="Footer">
    <w:name w:val="footer"/>
    <w:basedOn w:val="Normal"/>
    <w:link w:val="FooterChar"/>
    <w:uiPriority w:val="99"/>
    <w:unhideWhenUsed/>
    <w:rPr>
      <w:rFonts w:eastAsia="Arial Unicode MS"/>
    </w:rPr>
  </w:style>
  <w:style w:type="character" w:customStyle="1" w:styleId="FooterChar">
    <w:name w:val="Footer Char"/>
    <w:basedOn w:val="DefaultParagraphFont"/>
    <w:link w:val="Footer"/>
    <w:uiPriority w:val="99"/>
    <w:rPr>
      <w:rFonts w:ascii="Arial" w:eastAsiaTheme="minorEastAsia" w:hAnsi="Arial" w:cs="Arial"/>
      <w:sz w:val="22"/>
      <w:szCs w:val="22"/>
    </w:rPr>
  </w:style>
  <w:style w:type="paragraph" w:styleId="BodyText">
    <w:name w:val="Body Text"/>
    <w:basedOn w:val="Normal"/>
    <w:link w:val="BodyTextChar"/>
    <w:uiPriority w:val="99"/>
    <w:semiHidden/>
    <w:unhideWhenUsed/>
    <w:pPr>
      <w:jc w:val="center"/>
    </w:pPr>
    <w:rPr>
      <w:rFonts w:eastAsia="Arial Unicode MS"/>
      <w:b/>
      <w:bCs/>
    </w:rPr>
  </w:style>
  <w:style w:type="character" w:customStyle="1" w:styleId="BodyTextChar">
    <w:name w:val="Body Text Char"/>
    <w:basedOn w:val="DefaultParagraphFont"/>
    <w:link w:val="BodyText"/>
    <w:uiPriority w:val="99"/>
    <w:semiHidden/>
    <w:rPr>
      <w:rFonts w:ascii="Arial" w:eastAsiaTheme="minorEastAsia" w:hAnsi="Arial" w:cs="Arial"/>
      <w:sz w:val="22"/>
      <w:szCs w:val="22"/>
    </w:rPr>
  </w:style>
  <w:style w:type="paragraph" w:styleId="BodyTextIndent">
    <w:name w:val="Body Text Indent"/>
    <w:basedOn w:val="Normal"/>
    <w:link w:val="BodyTextIndentChar"/>
    <w:uiPriority w:val="99"/>
    <w:semiHidden/>
    <w:unhideWhenUsed/>
    <w:pPr>
      <w:ind w:left="720" w:hanging="720"/>
    </w:pPr>
    <w:rPr>
      <w:rFonts w:eastAsia="Arial Unicode MS"/>
      <w:b/>
      <w:bCs/>
    </w:rPr>
  </w:style>
  <w:style w:type="character" w:customStyle="1" w:styleId="BodyTextIndentChar">
    <w:name w:val="Body Text Indent Char"/>
    <w:basedOn w:val="DefaultParagraphFont"/>
    <w:link w:val="BodyTextIndent"/>
    <w:uiPriority w:val="99"/>
    <w:semiHidden/>
    <w:rPr>
      <w:rFonts w:ascii="Arial" w:eastAsiaTheme="minorEastAsia" w:hAnsi="Arial" w:cs="Arial"/>
      <w:sz w:val="22"/>
      <w:szCs w:val="22"/>
    </w:rPr>
  </w:style>
  <w:style w:type="paragraph" w:styleId="BodyText2">
    <w:name w:val="Body Text 2"/>
    <w:basedOn w:val="Normal"/>
    <w:link w:val="BodyText2Char"/>
    <w:uiPriority w:val="99"/>
    <w:semiHidden/>
    <w:unhideWhenUsed/>
    <w:rPr>
      <w:rFonts w:eastAsia="Arial Unicode MS"/>
      <w:b/>
      <w:bCs/>
      <w:sz w:val="20"/>
      <w:szCs w:val="20"/>
    </w:rPr>
  </w:style>
  <w:style w:type="character" w:customStyle="1" w:styleId="BodyText2Char">
    <w:name w:val="Body Text 2 Char"/>
    <w:basedOn w:val="DefaultParagraphFont"/>
    <w:link w:val="BodyText2"/>
    <w:uiPriority w:val="99"/>
    <w:semiHidden/>
    <w:rPr>
      <w:rFonts w:ascii="Arial" w:eastAsiaTheme="minorEastAsia" w:hAnsi="Arial" w:cs="Arial"/>
      <w:sz w:val="22"/>
      <w:szCs w:val="22"/>
    </w:rPr>
  </w:style>
  <w:style w:type="paragraph" w:styleId="BodyText3">
    <w:name w:val="Body Text 3"/>
    <w:basedOn w:val="Normal"/>
    <w:link w:val="BodyText3Char"/>
    <w:uiPriority w:val="99"/>
    <w:semiHidden/>
    <w:unhideWhenUsed/>
    <w:rPr>
      <w:rFonts w:eastAsia="Arial Unicode MS"/>
    </w:rPr>
  </w:style>
  <w:style w:type="character" w:customStyle="1" w:styleId="BodyText3Char">
    <w:name w:val="Body Text 3 Char"/>
    <w:basedOn w:val="DefaultParagraphFont"/>
    <w:link w:val="BodyText3"/>
    <w:uiPriority w:val="99"/>
    <w:semiHidden/>
    <w:rPr>
      <w:rFonts w:ascii="Arial" w:eastAsiaTheme="minorEastAsia" w:hAnsi="Arial" w:cs="Arial"/>
      <w:sz w:val="16"/>
      <w:szCs w:val="16"/>
    </w:rPr>
  </w:style>
  <w:style w:type="paragraph" w:styleId="DocumentMap">
    <w:name w:val="Document Map"/>
    <w:basedOn w:val="Normal"/>
    <w:link w:val="DocumentMapChar"/>
    <w:uiPriority w:val="99"/>
    <w:semiHidden/>
    <w:unhideWhenUsed/>
    <w:pPr>
      <w:shd w:val="clear" w:color="auto" w:fill="000080"/>
    </w:pPr>
    <w:rPr>
      <w:rFonts w:ascii="Tahoma" w:eastAsia="Arial Unicode MS" w:hAnsi="Tahoma" w:cs="Tahoma"/>
      <w:sz w:val="20"/>
      <w:szCs w:val="20"/>
    </w:rPr>
  </w:style>
  <w:style w:type="character" w:customStyle="1" w:styleId="DocumentMapChar">
    <w:name w:val="Document Map Char"/>
    <w:basedOn w:val="DefaultParagraphFont"/>
    <w:link w:val="DocumentMap"/>
    <w:uiPriority w:val="99"/>
    <w:semiHidden/>
    <w:rPr>
      <w:rFonts w:ascii="Tahoma" w:eastAsiaTheme="minorEastAsia" w:hAnsi="Tahoma" w:cs="Tahoma"/>
      <w:sz w:val="16"/>
      <w:szCs w:val="16"/>
    </w:rPr>
  </w:style>
  <w:style w:type="paragraph" w:styleId="CommentSubject">
    <w:name w:val="annotation subject"/>
    <w:basedOn w:val="Normal"/>
    <w:link w:val="CommentSubjectChar"/>
    <w:uiPriority w:val="99"/>
    <w:semiHidden/>
    <w:unhideWhenUsed/>
    <w:rPr>
      <w:rFonts w:eastAsia="Arial Unicode MS"/>
      <w:b/>
      <w:bCs/>
      <w:sz w:val="20"/>
      <w:szCs w:val="20"/>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rPr>
      <w:rFonts w:ascii="Tahoma" w:eastAsia="Arial Unicode MS"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paragraph" w:styleId="Revision">
    <w:name w:val="Revision"/>
    <w:basedOn w:val="Normal"/>
    <w:uiPriority w:val="99"/>
    <w:semiHidden/>
    <w:rPr>
      <w:rFonts w:eastAsia="Arial Unicode MS"/>
    </w:rPr>
  </w:style>
  <w:style w:type="paragraph" w:styleId="ListParagraph">
    <w:name w:val="List Paragraph"/>
    <w:basedOn w:val="Normal"/>
    <w:uiPriority w:val="34"/>
    <w:qFormat/>
    <w:pPr>
      <w:spacing w:after="200" w:line="276" w:lineRule="auto"/>
      <w:ind w:left="720"/>
    </w:pPr>
    <w:rPr>
      <w:rFonts w:ascii="Calibri" w:eastAsia="Arial Unicode MS" w:hAnsi="Calibri" w:cs="Calibri"/>
    </w:rPr>
  </w:style>
  <w:style w:type="paragraph" w:customStyle="1" w:styleId="msolistparagraphcxspfirst">
    <w:name w:val="msolistparagraphcxspfirst"/>
    <w:basedOn w:val="Normal"/>
    <w:pPr>
      <w:spacing w:line="276" w:lineRule="auto"/>
      <w:ind w:left="720"/>
    </w:pPr>
    <w:rPr>
      <w:rFonts w:ascii="Calibri" w:eastAsia="Arial Unicode MS" w:hAnsi="Calibri" w:cs="Calibri"/>
    </w:rPr>
  </w:style>
  <w:style w:type="paragraph" w:customStyle="1" w:styleId="msolistparagraphcxspmiddle">
    <w:name w:val="msolistparagraphcxspmiddle"/>
    <w:basedOn w:val="Normal"/>
    <w:pPr>
      <w:spacing w:line="276" w:lineRule="auto"/>
      <w:ind w:left="720"/>
    </w:pPr>
    <w:rPr>
      <w:rFonts w:ascii="Calibri" w:eastAsia="Arial Unicode MS" w:hAnsi="Calibri" w:cs="Calibri"/>
    </w:rPr>
  </w:style>
  <w:style w:type="paragraph" w:customStyle="1" w:styleId="msolistparagraphcxsplast">
    <w:name w:val="msolistparagraphcxsplast"/>
    <w:basedOn w:val="Normal"/>
    <w:pPr>
      <w:spacing w:after="200" w:line="276" w:lineRule="auto"/>
      <w:ind w:left="720"/>
    </w:pPr>
    <w:rPr>
      <w:rFonts w:ascii="Calibri" w:eastAsia="Arial Unicode MS" w:hAnsi="Calibri" w:cs="Calibri"/>
    </w:rPr>
  </w:style>
  <w:style w:type="paragraph" w:customStyle="1" w:styleId="Default">
    <w:name w:val="Default"/>
    <w:basedOn w:val="Normal"/>
    <w:pPr>
      <w:autoSpaceDE w:val="0"/>
      <w:autoSpaceDN w:val="0"/>
    </w:pPr>
    <w:rPr>
      <w:rFonts w:eastAsia="Arial Unicode MS"/>
      <w:color w:val="000000"/>
      <w:sz w:val="24"/>
      <w:szCs w:val="24"/>
    </w:rPr>
  </w:style>
  <w:style w:type="paragraph" w:customStyle="1" w:styleId="releasedate">
    <w:name w:val="releasedate"/>
    <w:basedOn w:val="Normal"/>
    <w:pPr>
      <w:spacing w:before="120" w:after="240"/>
    </w:pPr>
    <w:rPr>
      <w:rFonts w:ascii="Times New Roman" w:eastAsia="Arial Unicode MS" w:hAnsi="Times New Roman" w:cs="Times New Roman"/>
      <w:sz w:val="24"/>
      <w:szCs w:val="24"/>
    </w:rPr>
  </w:style>
  <w:style w:type="character" w:customStyle="1" w:styleId="content1">
    <w:name w:val="content1"/>
    <w:basedOn w:val="DefaultParagraphFont"/>
    <w:rPr>
      <w:rFonts w:ascii="Arial" w:hAnsi="Arial" w:cs="Arial" w:hint="default"/>
      <w:color w:val="333333"/>
    </w:rPr>
  </w:style>
  <w:style w:type="character" w:customStyle="1" w:styleId="ecxa1">
    <w:name w:val="ecxa1"/>
    <w:basedOn w:val="DefaultParagraphFont"/>
  </w:style>
  <w:style w:type="character" w:customStyle="1" w:styleId="apple-converted-space">
    <w:name w:val="apple-converted-space"/>
    <w:basedOn w:val="DefaultParagraphFont"/>
  </w:style>
  <w:style w:type="character" w:customStyle="1" w:styleId="featuretext">
    <w:name w:val="featuretext"/>
    <w:basedOn w:val="DefaultParagraphFont"/>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s.ontario.ca/mho/en/2016/06/social-infrastructure-spending-strengthens-communities-and-grows-the-economy-in-ontario.html" TargetMode="External"/><Relationship Id="rId13" Type="http://schemas.openxmlformats.org/officeDocument/2006/relationships/hyperlink" Target="https://news.ontario.ca/mho/fr/2016/09/lontario-etablit-des-prestations-de-logement-transferables-pour-aider-les-survivants-de-violence-fam.html" TargetMode="External"/><Relationship Id="rId3" Type="http://schemas.openxmlformats.org/officeDocument/2006/relationships/settings" Target="settings.xml"/><Relationship Id="rId7" Type="http://schemas.openxmlformats.org/officeDocument/2006/relationships/hyperlink" Target="http://docs.files.ontario.ca/documents/4136/mi-2003-svhap-report-en-for-tagging-final-2-up-s.pdf" TargetMode="External"/><Relationship Id="rId12" Type="http://schemas.openxmlformats.org/officeDocument/2006/relationships/hyperlink" Target="https://news.ontario.ca/mho/en/2016/09/ontario-establishes-portable-housing-benefit-to-help-survivors-of-domestic-violen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h.gov.on.ca/Page9181.aspx" TargetMode="External"/><Relationship Id="rId11" Type="http://schemas.openxmlformats.org/officeDocument/2006/relationships/hyperlink" Target="https://www.letstalkhousing.ca/" TargetMode="External"/><Relationship Id="rId5" Type="http://schemas.openxmlformats.org/officeDocument/2006/relationships/image" Target="http://media.ontarionewsroom.com/logos/ontario_logo.png" TargetMode="External"/><Relationship Id="rId15" Type="http://schemas.openxmlformats.org/officeDocument/2006/relationships/theme" Target="theme/theme1.xml"/><Relationship Id="rId10" Type="http://schemas.openxmlformats.org/officeDocument/2006/relationships/hyperlink" Target="https://www.ontario.ca/page/realizing-our-potential-ontarios-poverty-reduction-strategy-2014-2019" TargetMode="External"/><Relationship Id="rId4" Type="http://schemas.openxmlformats.org/officeDocument/2006/relationships/webSettings" Target="webSettings.xml"/><Relationship Id="rId9" Type="http://schemas.openxmlformats.org/officeDocument/2006/relationships/hyperlink" Target="https://www.ontario.ca/document/action-plan-stop-sexual-violence-and-harass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3073</Characters>
  <Application>Microsoft Office Word</Application>
  <DocSecurity>0</DocSecurity>
  <Lines>71</Lines>
  <Paragraphs>26</Paragraphs>
  <ScaleCrop>false</ScaleCrop>
  <Company>Ottawa Police Service</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
  <cp:revision>1</cp:revision>
  <dcterms:created xsi:type="dcterms:W3CDTF">2017-01-05T20:20:00Z</dcterms:created>
</cp:coreProperties>
</file>