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F7071F" w:rsidP="00516A0F">
            <w:r>
              <w:t>Community &amp; Family Services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F7071F" w:rsidP="001D1641">
            <w:r>
              <w:t>4</w:t>
            </w:r>
            <w:r w:rsidR="001D1641">
              <w:t>1</w:t>
            </w:r>
            <w:r w:rsidR="00693DBD">
              <w:t>/</w:t>
            </w:r>
            <w:r w:rsidR="001D1641">
              <w:t>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1D1641">
            <w:r>
              <w:t xml:space="preserve"> 1 </w:t>
            </w:r>
            <w:r w:rsidR="001D1641">
              <w:t>Full</w:t>
            </w:r>
            <w:r>
              <w:t xml:space="preserve"> time </w:t>
            </w:r>
            <w:r w:rsidR="001D1641">
              <w:t>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1D1641" w:rsidP="00516A0F">
            <w:r>
              <w:t>$18.96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BF4842" w:rsidP="001D1641">
            <w:r>
              <w:t>August 30</w:t>
            </w:r>
            <w:r w:rsidR="001D1641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1D1641" w:rsidP="00BF4842">
            <w:r>
              <w:t xml:space="preserve">September </w:t>
            </w:r>
            <w:r w:rsidR="00BF4842">
              <w:t>5</w:t>
            </w:r>
            <w:r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F7071F">
              <w:t xml:space="preserve"> 241-2818 or  Email at: 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1D1641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9F26C3" w:rsidRDefault="00774C0B" w:rsidP="001D1641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Pr="009F26C3" w:rsidRDefault="00774C0B" w:rsidP="001D1641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1D1641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Mission Statement</w:t>
            </w:r>
          </w:p>
          <w:p w:rsidR="00774C0B" w:rsidRPr="009F26C3" w:rsidRDefault="00774C0B" w:rsidP="001D1641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9F26C3" w:rsidRDefault="00A52286" w:rsidP="001D16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9F457A" w:rsidP="001D16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 xml:space="preserve">Core </w:t>
            </w:r>
            <w:r w:rsidR="00A52286"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Values</w:t>
            </w:r>
          </w:p>
          <w:p w:rsidR="009F457A" w:rsidRPr="009F26C3" w:rsidRDefault="009F457A" w:rsidP="001D1641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  <w:t>The Salvation Army Canada and Bermuda has four core values:</w:t>
            </w:r>
          </w:p>
          <w:p w:rsidR="009F457A" w:rsidRPr="009F26C3" w:rsidRDefault="009F457A" w:rsidP="001D1641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1D1641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Hope: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Service: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reach out to support others without discrimination.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Dignity: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respect and value each other, recognizing everyone’s worth.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Stewardship: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responsibly manage the resources entrusted to us.</w:t>
            </w:r>
          </w:p>
          <w:p w:rsidR="00774C0B" w:rsidRPr="009F26C3" w:rsidRDefault="00774C0B" w:rsidP="001D1641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7071F" w:rsidRPr="00CA6022" w:rsidRDefault="00F7071F" w:rsidP="001D164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A6022">
              <w:rPr>
                <w:rFonts w:asciiTheme="minorHAnsi" w:hAnsiTheme="minorHAnsi" w:cstheme="minorHAnsi"/>
                <w:b/>
                <w:sz w:val="22"/>
              </w:rPr>
              <w:t>JOB PURPOSE</w:t>
            </w:r>
          </w:p>
          <w:p w:rsidR="00F7071F" w:rsidRPr="00CA6022" w:rsidRDefault="00F7071F" w:rsidP="001D1641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 xml:space="preserve">The Community and Family Services worker’s role is to assist families who are seeking </w:t>
            </w:r>
            <w:proofErr w:type="gramStart"/>
            <w:r w:rsidRPr="00CA6022">
              <w:rPr>
                <w:rFonts w:asciiTheme="minorHAnsi" w:eastAsiaTheme="minorHAnsi" w:hAnsiTheme="minorHAnsi" w:cstheme="minorHAnsi"/>
                <w:sz w:val="22"/>
              </w:rPr>
              <w:t>either aid and</w:t>
            </w:r>
            <w:proofErr w:type="gramEnd"/>
            <w:r w:rsidRPr="00CA6022">
              <w:rPr>
                <w:rFonts w:asciiTheme="minorHAnsi" w:eastAsiaTheme="minorHAnsi" w:hAnsiTheme="minorHAnsi" w:cstheme="minorHAnsi"/>
                <w:sz w:val="22"/>
              </w:rPr>
              <w:t xml:space="preserve"> assistance from, or have been referred to the Ottawa Booth Centre Community and Family Services.  This includes ensuring the emergency food bank is well stocked and organized with needed items. </w:t>
            </w:r>
          </w:p>
          <w:p w:rsidR="001D1641" w:rsidRDefault="001D1641" w:rsidP="001D1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</w:p>
          <w:p w:rsidR="00F7071F" w:rsidRPr="00CA6022" w:rsidRDefault="00F7071F" w:rsidP="001D1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Accountabilities: </w:t>
            </w:r>
          </w:p>
          <w:p w:rsidR="00F7071F" w:rsidRPr="00CA6022" w:rsidRDefault="00F7071F" w:rsidP="001D1641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napToGrid w:val="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/>
                <w:bCs/>
                <w:snapToGrid w:val="0"/>
                <w:sz w:val="22"/>
              </w:rPr>
              <w:t>Food Bank</w:t>
            </w:r>
          </w:p>
          <w:p w:rsidR="00F7071F" w:rsidRPr="00CA6022" w:rsidRDefault="00F7071F" w:rsidP="001D1641">
            <w:pPr>
              <w:widowControl w:val="0"/>
              <w:numPr>
                <w:ilvl w:val="0"/>
                <w:numId w:val="16"/>
              </w:numPr>
              <w:spacing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  <w:t>Receive and sort products as they arrive in the Centre</w:t>
            </w:r>
          </w:p>
          <w:p w:rsidR="00F7071F" w:rsidRPr="00CA6022" w:rsidRDefault="00F7071F" w:rsidP="001D1641">
            <w:pPr>
              <w:widowControl w:val="0"/>
              <w:numPr>
                <w:ilvl w:val="0"/>
                <w:numId w:val="16"/>
              </w:numPr>
              <w:spacing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  <w:t>Move products from different locations in the Centre as space becomes available in the Food Bank and stock shelves as necessary</w:t>
            </w:r>
          </w:p>
          <w:p w:rsidR="00F7071F" w:rsidRPr="00CA6022" w:rsidRDefault="00F7071F" w:rsidP="001D1641">
            <w:pPr>
              <w:widowControl w:val="0"/>
              <w:numPr>
                <w:ilvl w:val="0"/>
                <w:numId w:val="16"/>
              </w:numPr>
              <w:spacing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  <w:t>Ensure all food items are fresh and remove any items that may become stale-dated</w:t>
            </w:r>
          </w:p>
          <w:p w:rsidR="00F7071F" w:rsidRPr="00CA6022" w:rsidRDefault="00F7071F" w:rsidP="001D1641">
            <w:pPr>
              <w:widowControl w:val="0"/>
              <w:numPr>
                <w:ilvl w:val="0"/>
                <w:numId w:val="16"/>
              </w:numPr>
              <w:spacing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  <w:t xml:space="preserve">Pack upwards of 50 grocery bags daily </w:t>
            </w:r>
          </w:p>
          <w:p w:rsidR="00F7071F" w:rsidRPr="00CA6022" w:rsidRDefault="00F7071F" w:rsidP="001D1641">
            <w:pPr>
              <w:widowControl w:val="0"/>
              <w:numPr>
                <w:ilvl w:val="0"/>
                <w:numId w:val="16"/>
              </w:numPr>
              <w:spacing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  <w:t>Transfer full grocery bags from Food Bank to CFS office and then to clients</w:t>
            </w:r>
          </w:p>
          <w:p w:rsidR="00F7071F" w:rsidRPr="00CA6022" w:rsidRDefault="00F7071F" w:rsidP="001D1641">
            <w:pPr>
              <w:widowControl w:val="0"/>
              <w:numPr>
                <w:ilvl w:val="0"/>
                <w:numId w:val="16"/>
              </w:numPr>
              <w:spacing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  <w:t>Responsible for the organization, maintenance and general cleanliness of the food bank</w:t>
            </w:r>
          </w:p>
          <w:p w:rsidR="00F7071F" w:rsidRDefault="00F7071F" w:rsidP="001D1641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</w:p>
          <w:p w:rsidR="00F7071F" w:rsidRDefault="00F7071F" w:rsidP="001D1641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</w:p>
          <w:p w:rsidR="001D1641" w:rsidRDefault="001D1641" w:rsidP="001D1641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</w:p>
          <w:p w:rsidR="001D1641" w:rsidRPr="00CA6022" w:rsidRDefault="001D1641" w:rsidP="001D1641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</w:p>
          <w:p w:rsidR="00F7071F" w:rsidRPr="00CA6022" w:rsidRDefault="00F7071F" w:rsidP="001D1641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/>
                <w:bCs/>
                <w:sz w:val="22"/>
              </w:rPr>
              <w:t>Client Services</w:t>
            </w:r>
          </w:p>
          <w:p w:rsidR="00F7071F" w:rsidRPr="00CA6022" w:rsidRDefault="00F7071F" w:rsidP="001D1641">
            <w:pPr>
              <w:numPr>
                <w:ilvl w:val="0"/>
                <w:numId w:val="15"/>
              </w:numPr>
              <w:tabs>
                <w:tab w:val="left" w:pos="720"/>
              </w:tabs>
              <w:spacing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Verify client needs and ensure they meet eligibility criteria</w:t>
            </w:r>
          </w:p>
          <w:p w:rsidR="00F7071F" w:rsidRPr="00CA6022" w:rsidRDefault="00F7071F" w:rsidP="001D1641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Obtain appropriate documentation and signed release forms as required under the Privacy-related  legislation (latest revision)</w:t>
            </w:r>
          </w:p>
          <w:p w:rsidR="00F7071F" w:rsidRPr="00CA6022" w:rsidRDefault="00F7071F" w:rsidP="001D1641">
            <w:pPr>
              <w:numPr>
                <w:ilvl w:val="0"/>
                <w:numId w:val="15"/>
              </w:numPr>
              <w:tabs>
                <w:tab w:val="left" w:pos="720"/>
              </w:tabs>
              <w:spacing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Identify and asses client needs, considering the whole person/family unit, including practical, emotional and spiritual needs</w:t>
            </w:r>
          </w:p>
          <w:p w:rsidR="00F7071F" w:rsidRPr="00CA6022" w:rsidRDefault="00F7071F" w:rsidP="001D1641">
            <w:pPr>
              <w:numPr>
                <w:ilvl w:val="0"/>
                <w:numId w:val="15"/>
              </w:numPr>
              <w:tabs>
                <w:tab w:val="left" w:pos="720"/>
              </w:tabs>
              <w:spacing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Provide written and verbal referrals to other agencies and workers when appropriate</w:t>
            </w:r>
          </w:p>
          <w:p w:rsidR="00F7071F" w:rsidRPr="00CA6022" w:rsidRDefault="00F7071F" w:rsidP="001D1641">
            <w:pPr>
              <w:numPr>
                <w:ilvl w:val="0"/>
                <w:numId w:val="15"/>
              </w:numPr>
              <w:tabs>
                <w:tab w:val="left" w:pos="720"/>
              </w:tabs>
              <w:spacing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Deliver services in accordance with established protocols; this includes, but is not limited to:</w:t>
            </w:r>
          </w:p>
          <w:p w:rsidR="00F7071F" w:rsidRPr="00CA6022" w:rsidRDefault="00F7071F" w:rsidP="001D1641">
            <w:pPr>
              <w:numPr>
                <w:ilvl w:val="1"/>
                <w:numId w:val="15"/>
              </w:numPr>
              <w:tabs>
                <w:tab w:val="left" w:pos="1800"/>
              </w:tabs>
              <w:spacing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Issue  emergency food bags, clothing vouchers, household vouchers and emergency bus tickets transportation</w:t>
            </w:r>
          </w:p>
          <w:p w:rsidR="00F7071F" w:rsidRPr="00CA6022" w:rsidRDefault="00F7071F" w:rsidP="001D1641">
            <w:pPr>
              <w:numPr>
                <w:ilvl w:val="1"/>
                <w:numId w:val="15"/>
              </w:numPr>
              <w:tabs>
                <w:tab w:val="left" w:pos="1800"/>
              </w:tabs>
              <w:spacing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Make recommendations for financial assistance</w:t>
            </w:r>
          </w:p>
          <w:p w:rsidR="00F7071F" w:rsidRPr="00CA6022" w:rsidRDefault="00F7071F" w:rsidP="001D1641">
            <w:pPr>
              <w:numPr>
                <w:ilvl w:val="1"/>
                <w:numId w:val="15"/>
              </w:numPr>
              <w:tabs>
                <w:tab w:val="left" w:pos="1800"/>
              </w:tabs>
              <w:spacing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Provide information regarding other appropriate services provided by the Ottawa Booth Centre, including spiritual care services</w:t>
            </w:r>
          </w:p>
          <w:p w:rsidR="00F7071F" w:rsidRPr="00CA6022" w:rsidRDefault="00F7071F" w:rsidP="001D1641">
            <w:pPr>
              <w:numPr>
                <w:ilvl w:val="1"/>
                <w:numId w:val="15"/>
              </w:numPr>
              <w:tabs>
                <w:tab w:val="left" w:pos="1800"/>
              </w:tabs>
              <w:spacing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Provide services and follow-up support to emergency response victims as required</w:t>
            </w:r>
          </w:p>
          <w:p w:rsidR="00F7071F" w:rsidRPr="00CA6022" w:rsidRDefault="00F7071F" w:rsidP="001D1641">
            <w:pPr>
              <w:numPr>
                <w:ilvl w:val="0"/>
                <w:numId w:val="15"/>
              </w:numPr>
              <w:tabs>
                <w:tab w:val="left" w:pos="1800"/>
              </w:tabs>
              <w:spacing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Responsible for ensuring the CFS office is welcoming while ensuring that clients maintain their dignity</w:t>
            </w:r>
          </w:p>
          <w:p w:rsidR="00F7071F" w:rsidRPr="00CA6022" w:rsidRDefault="00F7071F" w:rsidP="001D164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</w:p>
          <w:p w:rsidR="00F7071F" w:rsidRPr="00CA6022" w:rsidRDefault="00F7071F" w:rsidP="001D164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CA6022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Administration:</w:t>
            </w:r>
          </w:p>
          <w:p w:rsidR="00F7071F" w:rsidRPr="00CA6022" w:rsidRDefault="00F7071F" w:rsidP="001D1641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Input client information in The Salvation Army CMS electronic system</w:t>
            </w:r>
          </w:p>
          <w:p w:rsidR="00F7071F" w:rsidRPr="00CA6022" w:rsidRDefault="00F7071F" w:rsidP="001D1641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Maintain complete, accurate, up to date documentation in case files</w:t>
            </w:r>
          </w:p>
          <w:p w:rsidR="00F7071F" w:rsidRPr="00CA6022" w:rsidRDefault="00F7071F" w:rsidP="001D1641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Maintain accurate and up to date statistics;</w:t>
            </w:r>
          </w:p>
          <w:p w:rsidR="00F7071F" w:rsidRPr="00CA6022" w:rsidRDefault="00F7071F" w:rsidP="001D1641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Prepare all necessary forms and letters relating to CFS emergency assistance</w:t>
            </w:r>
          </w:p>
          <w:p w:rsidR="00F7071F" w:rsidRPr="00CA6022" w:rsidRDefault="00F7071F" w:rsidP="001D1641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Assist with seasonal programs and services</w:t>
            </w:r>
          </w:p>
          <w:p w:rsidR="00F7071F" w:rsidRPr="00CA6022" w:rsidRDefault="00F7071F" w:rsidP="001D1641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Provide relief reception duties as necessary</w:t>
            </w:r>
          </w:p>
          <w:p w:rsidR="00F7071F" w:rsidRPr="00CA6022" w:rsidRDefault="00F7071F" w:rsidP="001D164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</w:p>
          <w:p w:rsidR="00F7071F" w:rsidRPr="00CA6022" w:rsidRDefault="00F7071F" w:rsidP="001D164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CA6022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Community Liaison:</w:t>
            </w:r>
          </w:p>
          <w:p w:rsidR="00F7071F" w:rsidRPr="00CA6022" w:rsidRDefault="00F7071F" w:rsidP="001D1641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Network with community partners, including other Salvation Army units, who are referral agencies and/or sources of assistance for clients;</w:t>
            </w:r>
          </w:p>
          <w:p w:rsidR="00F7071F" w:rsidRPr="00CA6022" w:rsidRDefault="00F7071F" w:rsidP="001D1641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Attend community meetings as requested by the Supervisor of Community and Family  Services</w:t>
            </w:r>
          </w:p>
          <w:p w:rsidR="00F7071F" w:rsidRPr="00CA6022" w:rsidRDefault="00F7071F" w:rsidP="001D1641">
            <w:pPr>
              <w:spacing w:line="276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</w:p>
          <w:p w:rsidR="00F7071F" w:rsidRPr="00CA6022" w:rsidRDefault="00F7071F" w:rsidP="001D1641">
            <w:pPr>
              <w:rPr>
                <w:rFonts w:asciiTheme="minorHAnsi" w:eastAsia="MS Mincho" w:hAnsiTheme="minorHAnsi" w:cstheme="minorHAnsi"/>
                <w:i/>
                <w:color w:val="FF0000"/>
                <w:sz w:val="22"/>
              </w:rPr>
            </w:pPr>
            <w:r w:rsidRPr="00CA6022">
              <w:rPr>
                <w:rFonts w:asciiTheme="minorHAnsi" w:eastAsia="MS Mincho" w:hAnsiTheme="minorHAnsi" w:cstheme="minorHAnsi"/>
                <w:b/>
                <w:sz w:val="22"/>
              </w:rPr>
              <w:t xml:space="preserve">Working Conditions: </w:t>
            </w:r>
            <w:r w:rsidRPr="00CA6022">
              <w:rPr>
                <w:rFonts w:asciiTheme="minorHAnsi" w:eastAsia="MS Mincho" w:hAnsiTheme="minorHAnsi" w:cstheme="minorHAnsi"/>
                <w:i/>
                <w:color w:val="FF0000"/>
                <w:sz w:val="22"/>
              </w:rPr>
              <w:t xml:space="preserve"> </w:t>
            </w:r>
          </w:p>
          <w:p w:rsidR="00F7071F" w:rsidRPr="00CA6022" w:rsidRDefault="00F7071F" w:rsidP="001D1641">
            <w:pPr>
              <w:widowControl w:val="0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</w:rPr>
            </w:pPr>
            <w:r w:rsidRPr="00CA6022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F7071F" w:rsidRPr="00CA6022" w:rsidRDefault="00F7071F" w:rsidP="001D1641">
            <w:pPr>
              <w:widowControl w:val="0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</w:rPr>
            </w:pPr>
            <w:r w:rsidRPr="00CA6022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F7071F" w:rsidRDefault="00F7071F" w:rsidP="001D1641">
            <w:pPr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F7071F" w:rsidRPr="00CA6022" w:rsidRDefault="00F7071F" w:rsidP="001D1641">
            <w:pPr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CA6022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education and experience Qualifications: </w:t>
            </w:r>
          </w:p>
          <w:p w:rsidR="00F7071F" w:rsidRPr="00CA6022" w:rsidRDefault="00F7071F" w:rsidP="001D1641">
            <w:pPr>
              <w:jc w:val="both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/>
                <w:sz w:val="22"/>
              </w:rPr>
              <w:t xml:space="preserve">Education, Qualifications and Certifications: </w:t>
            </w:r>
            <w:r w:rsidRPr="00CA6022"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  <w:t xml:space="preserve"> </w:t>
            </w:r>
          </w:p>
          <w:p w:rsidR="00F7071F" w:rsidRPr="00CA6022" w:rsidRDefault="00F7071F" w:rsidP="001D164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Relevant community college/university education in social services or related disciplines</w:t>
            </w:r>
          </w:p>
          <w:p w:rsidR="00F7071F" w:rsidRDefault="00F7071F" w:rsidP="001D1641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2"/>
                <w:lang w:val="en-CA"/>
              </w:rPr>
            </w:pPr>
          </w:p>
          <w:p w:rsidR="001D1641" w:rsidRDefault="001D1641" w:rsidP="001D1641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2"/>
                <w:lang w:val="en-CA"/>
              </w:rPr>
            </w:pPr>
          </w:p>
          <w:p w:rsidR="001D1641" w:rsidRDefault="001D1641" w:rsidP="001D1641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2"/>
                <w:lang w:val="en-CA"/>
              </w:rPr>
            </w:pPr>
          </w:p>
          <w:p w:rsidR="001D1641" w:rsidRDefault="001D1641" w:rsidP="001D1641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2"/>
                <w:lang w:val="en-CA"/>
              </w:rPr>
            </w:pPr>
          </w:p>
          <w:p w:rsidR="001D1641" w:rsidRDefault="001D1641" w:rsidP="001D1641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2"/>
                <w:lang w:val="en-CA"/>
              </w:rPr>
            </w:pPr>
          </w:p>
          <w:p w:rsidR="001D1641" w:rsidRPr="00CA6022" w:rsidRDefault="001D1641" w:rsidP="001D16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en-CA"/>
              </w:rPr>
            </w:pPr>
          </w:p>
          <w:p w:rsidR="00F7071F" w:rsidRPr="00CA6022" w:rsidRDefault="00F7071F" w:rsidP="001D1641">
            <w:pPr>
              <w:jc w:val="both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/>
                <w:sz w:val="22"/>
              </w:rPr>
              <w:t>Experience and Skilled Knowledge Requirements:</w:t>
            </w:r>
          </w:p>
          <w:p w:rsidR="00F7071F" w:rsidRPr="00CA6022" w:rsidRDefault="00F7071F" w:rsidP="001D164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Minimum two years’ experience working with a similar disadvantaged client population in an urban setting, effectively identifying and assessing their individual needs</w:t>
            </w:r>
          </w:p>
          <w:p w:rsidR="00F7071F" w:rsidRPr="00CA6022" w:rsidRDefault="00F7071F" w:rsidP="001D164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Experience in working cooperatively with community resource agencies, particularly in negotiating and advocating for client’s needs</w:t>
            </w:r>
          </w:p>
          <w:p w:rsidR="00F7071F" w:rsidRPr="00CA6022" w:rsidRDefault="00F7071F" w:rsidP="001D1641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</w:p>
          <w:p w:rsidR="00F7071F" w:rsidRPr="00CA6022" w:rsidRDefault="00F7071F" w:rsidP="001D1641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/>
                <w:sz w:val="22"/>
              </w:rPr>
              <w:t xml:space="preserve">Skills and Capabilities: </w:t>
            </w:r>
          </w:p>
          <w:p w:rsidR="00F7071F" w:rsidRPr="00CA6022" w:rsidRDefault="00F7071F" w:rsidP="001D164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Strong written documentation and correspondence skills</w:t>
            </w:r>
          </w:p>
          <w:p w:rsidR="00F7071F" w:rsidRPr="00CA6022" w:rsidRDefault="00F7071F" w:rsidP="001D164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Strong computer skills, including a working knowledge of Microsoft Office</w:t>
            </w:r>
          </w:p>
          <w:p w:rsidR="00F7071F" w:rsidRPr="00CA6022" w:rsidRDefault="00F7071F" w:rsidP="001D164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Must be able to lift and move up to 20 pounds unassisted</w:t>
            </w:r>
          </w:p>
          <w:p w:rsidR="00F7071F" w:rsidRPr="00CA6022" w:rsidRDefault="00F7071F" w:rsidP="001D164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 xml:space="preserve">Must be able to endure physical activity for long periods </w:t>
            </w:r>
          </w:p>
          <w:p w:rsidR="00F7071F" w:rsidRPr="00CA6022" w:rsidRDefault="00F7071F" w:rsidP="001D164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Valid 'G' driver’s license is an asset</w:t>
            </w:r>
          </w:p>
          <w:p w:rsidR="00F7071F" w:rsidRPr="00CA6022" w:rsidRDefault="00F7071F" w:rsidP="001D164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Cs/>
                <w:sz w:val="22"/>
              </w:rPr>
              <w:t>Bilingualism</w:t>
            </w:r>
            <w:r w:rsidRPr="00CA6022">
              <w:rPr>
                <w:rFonts w:asciiTheme="minorHAnsi" w:eastAsiaTheme="minorHAnsi" w:hAnsiTheme="minorHAnsi" w:cstheme="minorHAnsi"/>
                <w:sz w:val="22"/>
              </w:rPr>
              <w:t xml:space="preserve"> preferred (English and French)</w:t>
            </w:r>
          </w:p>
          <w:p w:rsidR="00F7071F" w:rsidRPr="00CA6022" w:rsidRDefault="00F7071F" w:rsidP="001D1641">
            <w:pPr>
              <w:numPr>
                <w:ilvl w:val="0"/>
                <w:numId w:val="19"/>
              </w:numPr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Provide a current, clear police background check for the vulnerable sector</w:t>
            </w:r>
          </w:p>
          <w:p w:rsidR="00F7071F" w:rsidRPr="00CA6022" w:rsidRDefault="00F7071F" w:rsidP="001D1641">
            <w:pPr>
              <w:ind w:left="72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</w:p>
          <w:p w:rsidR="00F7071F" w:rsidRPr="00CA6022" w:rsidRDefault="00F7071F" w:rsidP="001D1641">
            <w:pPr>
              <w:rPr>
                <w:rFonts w:asciiTheme="minorHAnsi" w:hAnsiTheme="minorHAnsi" w:cstheme="minorHAnsi"/>
                <w:sz w:val="22"/>
              </w:rPr>
            </w:pPr>
            <w:r w:rsidRPr="00CA6022">
              <w:rPr>
                <w:rFonts w:asciiTheme="minorHAnsi" w:hAnsiTheme="minorHAnsi" w:cstheme="minorHAnsi"/>
                <w:sz w:val="22"/>
              </w:rPr>
              <w:t>Hours of Work: Monday to Friday 8:00am – 4:30pm</w:t>
            </w:r>
          </w:p>
          <w:p w:rsidR="00F7071F" w:rsidRPr="00CA6022" w:rsidRDefault="00F7071F" w:rsidP="001D1641">
            <w:pPr>
              <w:rPr>
                <w:rFonts w:asciiTheme="minorHAnsi" w:hAnsiTheme="minorHAnsi" w:cstheme="minorHAnsi"/>
                <w:sz w:val="22"/>
              </w:rPr>
            </w:pPr>
          </w:p>
          <w:p w:rsidR="00F7071F" w:rsidRPr="00CA6022" w:rsidRDefault="00F7071F" w:rsidP="001D1641">
            <w:pPr>
              <w:rPr>
                <w:rFonts w:asciiTheme="minorHAnsi" w:hAnsiTheme="minorHAnsi" w:cstheme="minorHAnsi"/>
                <w:sz w:val="22"/>
              </w:rPr>
            </w:pPr>
            <w:r w:rsidRPr="00CA6022">
              <w:rPr>
                <w:rFonts w:asciiTheme="minorHAnsi" w:hAnsiTheme="minorHAnsi" w:cstheme="minorHAnsi"/>
                <w:sz w:val="22"/>
              </w:rPr>
              <w:t>Please indicate competition # when applying for this position.</w:t>
            </w:r>
          </w:p>
          <w:p w:rsidR="00F7071F" w:rsidRPr="00CA6022" w:rsidRDefault="00F7071F" w:rsidP="001D1641">
            <w:pPr>
              <w:rPr>
                <w:rFonts w:asciiTheme="minorHAnsi" w:hAnsiTheme="minorHAnsi" w:cstheme="minorHAnsi"/>
                <w:sz w:val="22"/>
              </w:rPr>
            </w:pPr>
          </w:p>
          <w:p w:rsidR="00F7071F" w:rsidRPr="00CA6022" w:rsidRDefault="00F7071F" w:rsidP="001D1641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CA6022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F7071F" w:rsidRPr="00CA6022" w:rsidRDefault="00F7071F" w:rsidP="001D1641">
            <w:pPr>
              <w:rPr>
                <w:rFonts w:asciiTheme="minorHAnsi" w:hAnsiTheme="minorHAnsi" w:cstheme="minorHAnsi"/>
                <w:sz w:val="22"/>
              </w:rPr>
            </w:pPr>
          </w:p>
          <w:p w:rsidR="00F7071F" w:rsidRPr="00CA6022" w:rsidRDefault="00F7071F" w:rsidP="001D1641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CA6022">
              <w:rPr>
                <w:rFonts w:asciiTheme="minorHAnsi" w:hAnsiTheme="minorHAnsi" w:cstheme="minorHAnsi"/>
                <w:sz w:val="22"/>
                <w:u w:val="single"/>
              </w:rPr>
              <w:t>We thank all applicants, however, only those candidates to be interviewed will be contacted.</w:t>
            </w:r>
          </w:p>
          <w:p w:rsidR="00F7071F" w:rsidRPr="00CA6022" w:rsidRDefault="00F7071F" w:rsidP="001D1641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05053" w:rsidRPr="009F26C3" w:rsidRDefault="00055B33" w:rsidP="001D1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36D" w:rsidRDefault="00A9036D" w:rsidP="00037D55">
      <w:r>
        <w:separator/>
      </w:r>
    </w:p>
  </w:endnote>
  <w:endnote w:type="continuationSeparator" w:id="0">
    <w:p w:rsidR="00A9036D" w:rsidRDefault="00A9036D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36D" w:rsidRDefault="00A9036D" w:rsidP="00037D55">
      <w:r>
        <w:separator/>
      </w:r>
    </w:p>
  </w:footnote>
  <w:footnote w:type="continuationSeparator" w:id="0">
    <w:p w:rsidR="00A9036D" w:rsidRDefault="00A9036D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02798"/>
    <w:multiLevelType w:val="hybridMultilevel"/>
    <w:tmpl w:val="56FA11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F51293"/>
    <w:multiLevelType w:val="hybridMultilevel"/>
    <w:tmpl w:val="6832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F78F7"/>
    <w:multiLevelType w:val="multilevel"/>
    <w:tmpl w:val="C2C809F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numFmt w:val="none"/>
      <w:lvlText w:val="-"/>
      <w:legacy w:legacy="1" w:legacySpace="120" w:legacyIndent="720"/>
      <w:lvlJc w:val="left"/>
      <w:pPr>
        <w:ind w:left="1080" w:hanging="720"/>
      </w:p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5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393E83"/>
    <w:multiLevelType w:val="hybridMultilevel"/>
    <w:tmpl w:val="AB821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778FD"/>
    <w:multiLevelType w:val="hybridMultilevel"/>
    <w:tmpl w:val="8D9AC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7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5"/>
  </w:num>
  <w:num w:numId="15">
    <w:abstractNumId w:val="14"/>
  </w:num>
  <w:num w:numId="16">
    <w:abstractNumId w:val="18"/>
  </w:num>
  <w:num w:numId="17">
    <w:abstractNumId w:val="16"/>
  </w:num>
  <w:num w:numId="18">
    <w:abstractNumId w:val="12"/>
  </w:num>
  <w:num w:numId="19">
    <w:abstractNumId w:val="9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A24F2"/>
    <w:rsid w:val="001A586B"/>
    <w:rsid w:val="001D11AC"/>
    <w:rsid w:val="001D1641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D2970"/>
    <w:rsid w:val="0043220F"/>
    <w:rsid w:val="004415CF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E3FE3"/>
    <w:rsid w:val="0060216F"/>
    <w:rsid w:val="00620C65"/>
    <w:rsid w:val="00693DBD"/>
    <w:rsid w:val="006A6B4D"/>
    <w:rsid w:val="006B253D"/>
    <w:rsid w:val="006C5CCB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9036D"/>
    <w:rsid w:val="00AA6E4D"/>
    <w:rsid w:val="00AF5D88"/>
    <w:rsid w:val="00B475DD"/>
    <w:rsid w:val="00B717A0"/>
    <w:rsid w:val="00BB2F85"/>
    <w:rsid w:val="00BD0958"/>
    <w:rsid w:val="00BD5ED9"/>
    <w:rsid w:val="00BF4842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7071F"/>
    <w:rsid w:val="00FA57CD"/>
    <w:rsid w:val="00FA683D"/>
    <w:rsid w:val="00FD03ED"/>
    <w:rsid w:val="00FD39FD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81649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48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14</cp:revision>
  <cp:lastPrinted>2019-07-22T17:06:00Z</cp:lastPrinted>
  <dcterms:created xsi:type="dcterms:W3CDTF">2019-01-23T21:02:00Z</dcterms:created>
  <dcterms:modified xsi:type="dcterms:W3CDTF">2021-08-26T17:17:00Z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