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6617F" w:rsidP="00D73E1E">
            <w:pPr>
              <w:rPr>
                <w:rFonts w:asciiTheme="minorHAnsi" w:hAnsiTheme="minorHAnsi" w:cstheme="minorHAnsi"/>
                <w:szCs w:val="20"/>
              </w:rPr>
            </w:pPr>
            <w:r>
              <w:rPr>
                <w:rFonts w:asciiTheme="minorHAnsi" w:hAnsiTheme="minorHAnsi" w:cstheme="minorHAnsi"/>
                <w:szCs w:val="20"/>
              </w:rPr>
              <w:t>40</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C6617F" w:rsidP="00C6617F">
            <w:pPr>
              <w:rPr>
                <w:rFonts w:asciiTheme="minorHAnsi" w:hAnsiTheme="minorHAnsi" w:cstheme="minorHAnsi"/>
                <w:szCs w:val="20"/>
              </w:rPr>
            </w:pPr>
            <w:r>
              <w:rPr>
                <w:rFonts w:asciiTheme="minorHAnsi" w:hAnsiTheme="minorHAnsi" w:cstheme="minorHAnsi"/>
              </w:rPr>
              <w:t>1 Full</w:t>
            </w:r>
            <w:r w:rsidR="00D73E1E">
              <w:rPr>
                <w:rFonts w:asciiTheme="minorHAnsi" w:hAnsiTheme="minorHAnsi" w:cstheme="minorHAnsi"/>
              </w:rPr>
              <w:t xml:space="preserve"> time</w:t>
            </w:r>
            <w:r w:rsidR="00950DE0">
              <w:rPr>
                <w:rFonts w:asciiTheme="minorHAnsi" w:hAnsiTheme="minorHAnsi" w:cstheme="minorHAnsi"/>
              </w:rPr>
              <w:t xml:space="preserve"> c</w:t>
            </w:r>
            <w:r w:rsidR="00950DE0" w:rsidRPr="00B056FD">
              <w:rPr>
                <w:rFonts w:asciiTheme="minorHAnsi" w:hAnsiTheme="minorHAnsi" w:cstheme="minorHAnsi"/>
              </w:rPr>
              <w:t xml:space="preserve">ontract </w:t>
            </w:r>
            <w:r w:rsidR="00950DE0">
              <w:rPr>
                <w:rFonts w:asciiTheme="minorHAnsi" w:hAnsiTheme="minorHAnsi" w:cstheme="minorHAnsi"/>
              </w:rPr>
              <w:t xml:space="preserve">position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9822BE" w:rsidP="00721478">
            <w:pPr>
              <w:rPr>
                <w:rFonts w:asciiTheme="minorHAnsi" w:hAnsiTheme="minorHAnsi" w:cstheme="minorHAnsi"/>
                <w:szCs w:val="20"/>
              </w:rPr>
            </w:pPr>
            <w:r>
              <w:rPr>
                <w:rFonts w:asciiTheme="minorHAnsi" w:hAnsiTheme="minorHAnsi" w:cstheme="minorHAnsi"/>
                <w:szCs w:val="20"/>
              </w:rPr>
              <w:t>$23.63</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9B2B54" w:rsidP="00C6617F">
            <w:pPr>
              <w:rPr>
                <w:rFonts w:asciiTheme="minorHAnsi" w:hAnsiTheme="minorHAnsi" w:cstheme="minorHAnsi"/>
                <w:szCs w:val="20"/>
              </w:rPr>
            </w:pPr>
            <w:r>
              <w:rPr>
                <w:rFonts w:asciiTheme="minorHAnsi" w:hAnsiTheme="minorHAnsi" w:cs="Arial"/>
                <w:szCs w:val="20"/>
              </w:rPr>
              <w:t>September</w:t>
            </w:r>
            <w:r w:rsidR="00C6617F">
              <w:rPr>
                <w:rFonts w:asciiTheme="minorHAnsi" w:hAnsiTheme="minorHAnsi" w:cs="Arial"/>
                <w:szCs w:val="20"/>
              </w:rPr>
              <w:t xml:space="preserve"> 22</w:t>
            </w:r>
            <w:r w:rsidR="00547902">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C6617F" w:rsidP="00C6617F">
            <w:pPr>
              <w:rPr>
                <w:rFonts w:asciiTheme="minorHAnsi" w:hAnsiTheme="minorHAnsi" w:cstheme="minorHAnsi"/>
                <w:szCs w:val="20"/>
              </w:rPr>
            </w:pPr>
            <w:r>
              <w:rPr>
                <w:rFonts w:asciiTheme="minorHAnsi" w:hAnsiTheme="minorHAnsi" w:cs="Arial"/>
                <w:szCs w:val="20"/>
              </w:rPr>
              <w:t>October 4</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 xml:space="preserve">Please email resumes to </w:t>
            </w:r>
            <w:r w:rsidR="001071C5">
              <w:rPr>
                <w:rFonts w:asciiTheme="minorHAnsi" w:hAnsiTheme="minorHAnsi" w:cstheme="minorHAnsi"/>
                <w:sz w:val="24"/>
                <w:szCs w:val="24"/>
              </w:rPr>
              <w:t>sor</w:t>
            </w:r>
            <w:r>
              <w:rPr>
                <w:rFonts w:asciiTheme="minorHAnsi" w:hAnsiTheme="minorHAnsi" w:cstheme="minorHAnsi"/>
                <w:sz w:val="24"/>
                <w:szCs w:val="24"/>
              </w:rPr>
              <w:t>jobs@saobc.org</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C6617F">
              <w:rPr>
                <w:rFonts w:asciiTheme="minorHAnsi" w:eastAsiaTheme="minorHAnsi" w:hAnsiTheme="minorHAnsi" w:cstheme="minorBidi"/>
                <w:sz w:val="18"/>
                <w:szCs w:val="18"/>
              </w:rPr>
              <w:t xml:space="preserve">Monday to Friday </w:t>
            </w:r>
            <w:r w:rsidR="00950DE0" w:rsidRPr="001300E0">
              <w:rPr>
                <w:rFonts w:asciiTheme="minorHAnsi" w:eastAsiaTheme="minorHAnsi" w:hAnsiTheme="minorHAnsi" w:cstheme="minorBidi"/>
                <w:sz w:val="18"/>
                <w:szCs w:val="18"/>
              </w:rPr>
              <w:t xml:space="preserve">- </w:t>
            </w:r>
            <w:r w:rsidR="00C6617F">
              <w:rPr>
                <w:rFonts w:asciiTheme="minorHAnsi" w:eastAsiaTheme="minorHAnsi" w:hAnsiTheme="minorHAnsi" w:cstheme="minorHAnsi"/>
                <w:sz w:val="18"/>
                <w:szCs w:val="18"/>
              </w:rPr>
              <w:t>6</w:t>
            </w:r>
            <w:r w:rsidR="00950DE0" w:rsidRPr="001300E0">
              <w:rPr>
                <w:rFonts w:asciiTheme="minorHAnsi" w:eastAsiaTheme="minorHAnsi" w:hAnsiTheme="minorHAnsi" w:cstheme="minorHAnsi"/>
                <w:sz w:val="18"/>
                <w:szCs w:val="18"/>
              </w:rPr>
              <w:t xml:space="preserve">:00am – </w:t>
            </w:r>
            <w:r w:rsidR="00C6617F">
              <w:rPr>
                <w:rFonts w:asciiTheme="minorHAnsi" w:eastAsiaTheme="minorHAnsi" w:hAnsiTheme="minorHAnsi" w:cstheme="minorHAnsi"/>
                <w:sz w:val="18"/>
                <w:szCs w:val="18"/>
              </w:rPr>
              <w:t>2:00pm,</w:t>
            </w:r>
            <w:r w:rsidR="00950DE0" w:rsidRPr="001300E0">
              <w:rPr>
                <w:rFonts w:ascii="Arial" w:hAnsi="Arial" w:cs="Arial"/>
                <w:sz w:val="18"/>
                <w:szCs w:val="18"/>
              </w:rPr>
              <w:t xml:space="preserve"> </w:t>
            </w:r>
            <w:r w:rsidR="00950DE0" w:rsidRPr="001300E0">
              <w:rPr>
                <w:rFonts w:asciiTheme="minorHAnsi" w:hAnsiTheme="minorHAnsi" w:cstheme="minorHAnsi"/>
                <w:sz w:val="18"/>
                <w:szCs w:val="18"/>
              </w:rPr>
              <w:t>inclusive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B5" w:rsidRDefault="002A09B5" w:rsidP="00037D55">
      <w:pPr>
        <w:spacing w:before="0" w:after="0"/>
      </w:pPr>
      <w:r>
        <w:separator/>
      </w:r>
    </w:p>
  </w:endnote>
  <w:endnote w:type="continuationSeparator" w:id="0">
    <w:p w:rsidR="002A09B5" w:rsidRDefault="002A09B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B5" w:rsidRDefault="002A09B5" w:rsidP="00037D55">
      <w:pPr>
        <w:spacing w:before="0" w:after="0"/>
      </w:pPr>
      <w:r>
        <w:separator/>
      </w:r>
    </w:p>
  </w:footnote>
  <w:footnote w:type="continuationSeparator" w:id="0">
    <w:p w:rsidR="002A09B5" w:rsidRDefault="002A09B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758E"/>
    <w:rsid w:val="00264AF2"/>
    <w:rsid w:val="0027012E"/>
    <w:rsid w:val="00276A6F"/>
    <w:rsid w:val="002916A1"/>
    <w:rsid w:val="002A09B5"/>
    <w:rsid w:val="002A3EFD"/>
    <w:rsid w:val="002E7360"/>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726F"/>
    <w:rsid w:val="004A1B2D"/>
    <w:rsid w:val="004E6E43"/>
    <w:rsid w:val="004E7C65"/>
    <w:rsid w:val="00500155"/>
    <w:rsid w:val="00500F44"/>
    <w:rsid w:val="00506350"/>
    <w:rsid w:val="00510C28"/>
    <w:rsid w:val="005115B2"/>
    <w:rsid w:val="00513FC5"/>
    <w:rsid w:val="00516A0F"/>
    <w:rsid w:val="00525020"/>
    <w:rsid w:val="0054570B"/>
    <w:rsid w:val="00546D54"/>
    <w:rsid w:val="00547902"/>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40E1"/>
    <w:rsid w:val="009B2B54"/>
    <w:rsid w:val="009B40AA"/>
    <w:rsid w:val="009C50E7"/>
    <w:rsid w:val="009D2133"/>
    <w:rsid w:val="009E506B"/>
    <w:rsid w:val="009F39AB"/>
    <w:rsid w:val="009F457A"/>
    <w:rsid w:val="00A01E8A"/>
    <w:rsid w:val="00A12BE8"/>
    <w:rsid w:val="00A359F5"/>
    <w:rsid w:val="00A5215A"/>
    <w:rsid w:val="00A52286"/>
    <w:rsid w:val="00A5519B"/>
    <w:rsid w:val="00A75F03"/>
    <w:rsid w:val="00A80C13"/>
    <w:rsid w:val="00A81673"/>
    <w:rsid w:val="00A85BAB"/>
    <w:rsid w:val="00A943E2"/>
    <w:rsid w:val="00B04B41"/>
    <w:rsid w:val="00B07A38"/>
    <w:rsid w:val="00B121A2"/>
    <w:rsid w:val="00B44000"/>
    <w:rsid w:val="00B473BC"/>
    <w:rsid w:val="00B475DD"/>
    <w:rsid w:val="00B566B2"/>
    <w:rsid w:val="00B717A0"/>
    <w:rsid w:val="00BA2433"/>
    <w:rsid w:val="00BB2F85"/>
    <w:rsid w:val="00BD05C8"/>
    <w:rsid w:val="00BD0958"/>
    <w:rsid w:val="00BD5ED9"/>
    <w:rsid w:val="00BE55EF"/>
    <w:rsid w:val="00C0627F"/>
    <w:rsid w:val="00C11770"/>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226E5"/>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82</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2022-08-23T14:20:00Z</cp:lastPrinted>
  <dcterms:created xsi:type="dcterms:W3CDTF">2022-04-05T19:20:00Z</dcterms:created>
  <dcterms:modified xsi:type="dcterms:W3CDTF">2022-09-20T22:25:00Z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